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 Siddalingaiah H S, MD</w:t>
      </w:r>
      <w:r>
        <w:t xml:space="preserve"> </w:t>
      </w:r>
      <w:r>
        <w:t xml:space="preserve">Professor, Department of Community Medicine</w:t>
      </w:r>
      <w:r>
        <w:t xml:space="preserve"> </w:t>
      </w:r>
      <w:r>
        <w:t xml:space="preserve">Shridevi Institute of Medical Sciences and Research Hospital, Tumkur, Karnataka, India</w:t>
      </w:r>
      <w:r>
        <w:t xml:space="preserve"> </w:t>
      </w:r>
      <w:r>
        <w:t xml:space="preserve">Email: hssling@yahoo.com | Phone: +91 8941087719</w:t>
      </w:r>
    </w:p>
    <w:p>
      <w:pPr>
        <w:pStyle w:val="BodyText"/>
      </w:pPr>
      <w:r>
        <w:t xml:space="preserve">Date: _______________</w:t>
      </w:r>
    </w:p>
    <w:p>
      <w:pPr>
        <w:pStyle w:val="BodyText"/>
      </w:pPr>
      <w:r>
        <w:t xml:space="preserve">The Editor</w:t>
      </w:r>
      <w:r>
        <w:t xml:space="preserve"> </w:t>
      </w:r>
      <w:r>
        <w:t xml:space="preserve">[Target journal]</w:t>
      </w:r>
    </w:p>
    <w:p>
      <w:pPr>
        <w:pStyle w:val="BodyText"/>
      </w:pPr>
      <w:r>
        <w:rPr>
          <w:b/>
          <w:bCs/>
        </w:rPr>
        <w:t xml:space="preserve">Re: Original article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“Which Spirometric Flag Better Identifies Frailty and Disability in Older Indians? A Head-to-Head Comparison of GLI-Labelled PRISm and a Correctly-Referenced Low FVC”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submit the above original article for consideration.</w:t>
      </w:r>
    </w:p>
    <w:p>
      <w:pPr>
        <w:pStyle w:val="BodyText"/>
      </w:pPr>
      <w:r>
        <w:t xml:space="preserve">Preserved ratio impaired spirometry (PRISm), defined against the GLI equations, is increasingly promoted as a marker of systemic ageing. Because GLI over-calls impairment in South Asians, the label is applied to roughly two-fifths of older Indians—too many to be specific for anything. In 30,995 adults from the Longitudinal Ageing Study in India, I compared GLI-PRISm head-to-head with a low FVC referenced to a nationally representative Indian standard, judging each not by association alone but by how much risk it concentrates and whether it adds anything beyond age and sex.</w:t>
      </w:r>
    </w:p>
    <w:p>
      <w:pPr>
        <w:pStyle w:val="BodyText"/>
      </w:pPr>
      <w:r>
        <w:t xml:space="preserve">The results are clarifying and, I think, honest. GLI-PRISm flags 40% of adults at essentially average risk; a correctly-referenced low FVC flags far fewer (7–16%) at higher relative risk, with stronger adjusted associations—most clearly for low grip strength. Yet no spirometric flag adds meaningful discrimination over demographics for any outcome. The message is therefore twofold: reference spirometry appropriately (the correctly-referenced low FVC is the better flag), but use it modestly (it is not a strong stand-alone marker of ageing morbidity). Because the data are cross-sectional, I am careful to frame this as concurrent identification and to reserve prognostic claims for future waves.</w:t>
      </w:r>
    </w:p>
    <w:p>
      <w:pPr>
        <w:pStyle w:val="BodyText"/>
      </w:pPr>
      <w:r>
        <w:t xml:space="preserve">The work is original, single-authored, unfunded, without conflicts, uses de-identified public data, and follows standard reporting. It complements companion analyses from the same programme on reference equations and preserved-ratio impairment.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Dr Siddalingaiah H S, MD</w:t>
      </w:r>
      <w:r>
        <w:t xml:space="preserve"> </w:t>
      </w:r>
      <w:r>
        <w:t xml:space="preserve">ORCID: 0000-0002-4771-8285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2026-07-08T04:35:23Z</dcterms:created>
  <dcterms:modified xsi:type="dcterms:W3CDTF">2026-07-08T04:35:23Z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