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declarations"/>
    <w:p>
      <w:pPr>
        <w:pStyle w:val="Heading1"/>
      </w:pPr>
      <w:r>
        <w:t xml:space="preserve">Declarations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Which Spirometric Flag Better Identifies Frailty and Disability in Older Indians? A Head-to-Head Comparison of GLI-Labelled PRISm and a Correctly-Referenced Low FVC in the Longitudinal Ageing Study in India.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Dr Siddalingaiah H S, MD, Professor, Department of Community Medicine, Shridevi Institute of Medical Sciences and Research Hospital, Tumkur, Karnataka, India.</w:t>
      </w:r>
    </w:p>
    <w:bookmarkStart w:id="9" w:name="Xd182db0490b2de20bd2b4e4cc8698599182035f"/>
    <w:p>
      <w:pPr>
        <w:pStyle w:val="Heading2"/>
      </w:pPr>
      <w:r>
        <w:t xml:space="preserve">Ethics approval and consent to participate</w:t>
      </w:r>
    </w:p>
    <w:p>
      <w:pPr>
        <w:pStyle w:val="FirstParagraph"/>
      </w:pPr>
      <w:r>
        <w:t xml:space="preserve">Secondary analysis of de-identified, publicly available LASI Wave 1 data. LASI obtained ethical approval from the Indian Council of Medical Research (ICMR) and written informed consent from all participants. No additional approval was required.</w:t>
      </w:r>
    </w:p>
    <w:bookmarkEnd w:id="9"/>
    <w:bookmarkStart w:id="10" w:name="consent-for-publication"/>
    <w:p>
      <w:pPr>
        <w:pStyle w:val="Heading2"/>
      </w:pPr>
      <w:r>
        <w:t xml:space="preserve">Consent for publication</w:t>
      </w:r>
    </w:p>
    <w:p>
      <w:pPr>
        <w:pStyle w:val="FirstParagraph"/>
      </w:pPr>
      <w:r>
        <w:t xml:space="preserve">Not applicable; no individually identifiable data.</w:t>
      </w:r>
    </w:p>
    <w:bookmarkEnd w:id="10"/>
    <w:bookmarkStart w:id="11" w:name="availability-of-data-and-material"/>
    <w:p>
      <w:pPr>
        <w:pStyle w:val="Heading2"/>
      </w:pPr>
      <w:r>
        <w:t xml:space="preserve">Availability of data and material</w:t>
      </w:r>
    </w:p>
    <w:p>
      <w:pPr>
        <w:pStyle w:val="FirstParagraph"/>
      </w:pPr>
      <w:r>
        <w:t xml:space="preserve">LASI Wave 1 data are available through the Gateway to Global Aging Data (g2aging.org) and IIPS. The analysis code is available from the author on reasonable request.</w:t>
      </w:r>
    </w:p>
    <w:bookmarkEnd w:id="11"/>
    <w:bookmarkStart w:id="12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None declared.</w:t>
      </w:r>
    </w:p>
    <w:bookmarkEnd w:id="12"/>
    <w:bookmarkStart w:id="13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None.</w:t>
      </w:r>
    </w:p>
    <w:bookmarkEnd w:id="13"/>
    <w:bookmarkStart w:id="14" w:name="authors-contributions"/>
    <w:p>
      <w:pPr>
        <w:pStyle w:val="Heading2"/>
      </w:pPr>
      <w:r>
        <w:t xml:space="preserve">Authors’ contributions</w:t>
      </w:r>
    </w:p>
    <w:p>
      <w:pPr>
        <w:pStyle w:val="FirstParagraph"/>
      </w:pPr>
      <w:r>
        <w:t xml:space="preserve">Single-author manuscript. Dr Siddalingaiah H S conceived and designed the study, performed the analysis, drafted and revised the manuscript, and approved the final version.</w:t>
      </w:r>
    </w:p>
    <w:bookmarkEnd w:id="14"/>
    <w:bookmarkStart w:id="15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The author thanks the LASI investigators, IIPS, the Harvard T.H. Chan School of Public Health, the University of Southern California, and the participants. The national-reference low-FVC used a reference derived in a companion analysis from the same programme.</w:t>
      </w:r>
    </w:p>
    <w:bookmarkEnd w:id="15"/>
    <w:bookmarkStart w:id="16" w:name="Xfd35355eaff5be7167e13ac5f8f9ba5509cc5e8"/>
    <w:p>
      <w:pPr>
        <w:pStyle w:val="Heading2"/>
      </w:pPr>
      <w:r>
        <w:t xml:space="preserve">Declaration of generative AI and AI-assisted technologies</w:t>
      </w:r>
    </w:p>
    <w:p>
      <w:pPr>
        <w:pStyle w:val="FirstParagraph"/>
      </w:pPr>
      <w:r>
        <w:t xml:space="preserve">The author used a generative AI assistant for language editing and analysis/figure code. All conception, analysis, interpretation, and claims are the author’s own, independently verified against the analysis and against primary sources. The author takes full responsibility for the content.</w:t>
      </w:r>
    </w:p>
    <w:bookmarkEnd w:id="16"/>
    <w:bookmarkStart w:id="17" w:name="prior-presentation"/>
    <w:p>
      <w:pPr>
        <w:pStyle w:val="Heading2"/>
      </w:pPr>
      <w:r>
        <w:t xml:space="preserve">Prior presentation</w:t>
      </w:r>
    </w:p>
    <w:p>
      <w:pPr>
        <w:pStyle w:val="FirstParagraph"/>
      </w:pPr>
      <w:r>
        <w:t xml:space="preserve">Not presented or published elsewhere; not under consideration by any other journal. Part of a programme with companion analyses on spirometry reference equations and preserved-ratio impairment.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2026-07-08T04:35:24Z</dcterms:created>
  <dcterms:modified xsi:type="dcterms:W3CDTF">2026-07-08T04:35:24Z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