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5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headto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1. </w:t>
      </w:r>
      <w:r>
        <w:t>(a) Coverage versus mean adjusted odds ratio across five ageing outcomes: flags that cover fewer adults concentrate more risk, the correctly-referenced low FVC flagging far fewer people at higher risk than GLI-PRISm. (b) Adjusted odds ratios (95% CI) by flag for each outcome; the national-reference low FVC shows stronger associations, most clearly for low grip strength.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