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Which Spirometric Flag Better Identifies Frailty and Disability in Older Indians? A Head-to-Head Comparison of GLI-Labelled PRISm and a Correctly-Referenced Low FVC in the Longitudinal Ageing Study in India</w:t>
      </w:r>
    </w:p>
    <w:p>
      <w:pPr>
        <w:pStyle w:val="BodyText"/>
      </w:pPr>
      <w:r>
        <w:t xml:space="preserve">Running title: PRISm versus correctly-referenced low FVC as an ageing flag</w:t>
      </w:r>
    </w:p>
    <w:p>
      <w:pPr>
        <w:pStyle w:val="BodyText"/>
      </w:pPr>
      <w:r>
        <w:t xml:space="preserve">Article type: Original Article</w:t>
      </w:r>
    </w:p>
    <w:bookmarkStart w:id="9" w:name="abstract"/>
    <w:p>
      <w:pPr>
        <w:pStyle w:val="Heading2"/>
      </w:pPr>
      <w:r>
        <w:t xml:space="preserve">Abstract</w:t>
      </w:r>
    </w:p>
    <w:p>
      <w:pPr>
        <w:pStyle w:val="FirstParagraph"/>
      </w:pPr>
      <w:r>
        <w:rPr>
          <w:b/>
          <w:bCs/>
        </w:rPr>
        <w:t xml:space="preserve">Background:</w:t>
      </w:r>
      <w:r>
        <w:t xml:space="preserve"> </w:t>
      </w:r>
      <w:r>
        <w:t xml:space="preserve">Preserved ratio impaired spirometry (PRISm), defined against the Global Lung Function Initiative (GLI) equations, is promoted as a marker of systemic ageing. Because GLI over-calls impairment in South Asians, we asked whether a low FVC referenced to a nationally representative Indian standard identifies older adults with frailty and disability better than the GLI-PRISm label.</w:t>
      </w:r>
    </w:p>
    <w:p>
      <w:pPr>
        <w:pStyle w:val="BodyText"/>
      </w:pPr>
      <w:r>
        <w:rPr>
          <w:b/>
          <w:bCs/>
        </w:rPr>
        <w:t xml:space="preserve">Methods:</w:t>
      </w:r>
      <w:r>
        <w:t xml:space="preserve"> </w:t>
      </w:r>
      <w:r>
        <w:t xml:space="preserve">In 30,996 adults aged ≥45 years from the Longitudinal Ageing Study in India (LASI) Wave 1, we compared four spirometric flags—GLI-PRISm (fixed), GLI restrictive pattern (fixed), and low FVC under a nationally representative reference at the lower limit of normal (LLN) and at a fixed threshold—for their coverage (proportion flagged), the risk concentrated among those flagged, and adjusted associations with five ageing outcomes not respiratory in nature (frailty, functional limitation, low grip strength, multimorbidity, poor self-rated health). Because the design is cross-sectional, this is concurrent identification, not prognosis.</w:t>
      </w:r>
    </w:p>
    <w:p>
      <w:pPr>
        <w:pStyle w:val="BodyText"/>
      </w:pPr>
      <w:r>
        <w:rPr>
          <w:b/>
          <w:bCs/>
        </w:rPr>
        <w:t xml:space="preserve">Results:</w:t>
      </w:r>
      <w:r>
        <w:t xml:space="preserve"> </w:t>
      </w:r>
      <w:r>
        <w:t xml:space="preserve">GLI-PRISm flagged 40.6% of adults, but those flagged were at essentially average risk (risk ratios 0.93–1.13; mean adjusted odds ratio 1.18). The correctly-referenced low FVC flagged far fewer adults (7.4% at LLN, 16.0% at the fixed threshold) at higher relative risk (mean adjusted odds ratio 1.30 and 1.27; odds ratio for low grip 1.51 and 1.53 vs 1.35 for GLI-PRISm). However, no spirometric flag added meaningful discrimination over age and sex for any outcome (ΔAUC ≤0.004).</w:t>
      </w:r>
    </w:p>
    <w:p>
      <w:pPr>
        <w:pStyle w:val="BodyText"/>
      </w:pPr>
      <w:r>
        <w:rPr>
          <w:b/>
          <w:bCs/>
        </w:rPr>
        <w:t xml:space="preserve">Conclusions:</w:t>
      </w:r>
      <w:r>
        <w:t xml:space="preserve"> </w:t>
      </w:r>
      <w:r>
        <w:t xml:space="preserve">For identifying frailty and disability, a correctly-referenced low FVC is a more defensible flag than GLI-PRISm—smaller, higher-risk, and with an honest denominator—but spirometry adds little beyond demographics. GLI-PRISm’s apparent utility partly reflects a label applied to two-fifths of the population at near-average risk.</w:t>
      </w:r>
    </w:p>
    <w:p>
      <w:pPr>
        <w:pStyle w:val="BodyText"/>
      </w:pPr>
      <w:r>
        <w:rPr>
          <w:b/>
          <w:bCs/>
        </w:rPr>
        <w:t xml:space="preserve">Keywords:</w:t>
      </w:r>
      <w:r>
        <w:t xml:space="preserve"> </w:t>
      </w:r>
      <w:r>
        <w:t xml:space="preserve">PRISm; FVC; reference equations; frailty; disability; risk stratification; India</w:t>
      </w:r>
    </w:p>
    <w:bookmarkEnd w:id="9"/>
    <w:bookmarkStart w:id="10" w:name="introduction"/>
    <w:p>
      <w:pPr>
        <w:pStyle w:val="Heading2"/>
      </w:pPr>
      <w:r>
        <w:t xml:space="preserve">Introduction</w:t>
      </w:r>
    </w:p>
    <w:p>
      <w:pPr>
        <w:pStyle w:val="FirstParagraph"/>
      </w:pPr>
      <w:r>
        <w:t xml:space="preserve">Preserved ratio impaired spirometry (PRISm) and the restrictive spirometric pattern have moved from respiratory curiosities to proposed markers of systemic ageing, on the strength of associations with frailty, disability, and death.</w:t>
      </w:r>
      <w:r>
        <w:rPr>
          <w:vertAlign w:val="superscript"/>
        </w:rPr>
        <w:t xml:space="preserve">(1,2)</w:t>
      </w:r>
      <w:r>
        <w:t xml:space="preserve"> </w:t>
      </w:r>
      <w:r>
        <w:t xml:space="preserve">In India those associations have been reported at high prevalence. But the labels are defined against the Global Lung Function Initiative (GLI) equations, which have no South Asian module and over-call impairment in a population with smaller lung volumes, so that GLI-PRISm is applied to a very large fraction of older Indians.</w:t>
      </w:r>
      <w:r>
        <w:rPr>
          <w:vertAlign w:val="superscript"/>
        </w:rPr>
        <w:t xml:space="preserve">(3)</w:t>
      </w:r>
      <w:r>
        <w:t xml:space="preserve"> </w:t>
      </w:r>
      <w:r>
        <w:t xml:space="preserve">A marker that flags two-fifths of a population cannot, by arithmetic, be highly specific for anything.</w:t>
      </w:r>
    </w:p>
    <w:p>
      <w:pPr>
        <w:pStyle w:val="BodyText"/>
      </w:pPr>
      <w:r>
        <w:t xml:space="preserve">This raises a practical question that the enthusiasm for PRISm has skipped. If the goal is to use spirometry to identify older adults who carry frailty and disability, is the GLI-PRISm label actually useful, and would a low FVC read against a population-appropriate reference do better? We compared them head to head in a national sample, asking not</w:t>
      </w:r>
      <w:r>
        <w:t xml:space="preserve"> </w:t>
      </w:r>
      <w:r>
        <w:t xml:space="preserve">“is PRISm associated with ageing outcomes?”</w:t>
      </w:r>
      <w:r>
        <w:t xml:space="preserve"> </w:t>
      </w:r>
      <w:r>
        <w:t xml:space="preserve">but</w:t>
      </w:r>
      <w:r>
        <w:t xml:space="preserve"> </w:t>
      </w:r>
      <w:r>
        <w:t xml:space="preserve">“which flag concentrates risk, and does either add anything beyond age and sex?”</w:t>
      </w:r>
    </w:p>
    <w:bookmarkEnd w:id="10"/>
    <w:bookmarkStart w:id="11" w:name="methods"/>
    <w:p>
      <w:pPr>
        <w:pStyle w:val="Heading2"/>
      </w:pPr>
      <w:r>
        <w:t xml:space="preserve">Methods</w:t>
      </w:r>
    </w:p>
    <w:p>
      <w:pPr>
        <w:pStyle w:val="FirstParagraph"/>
      </w:pPr>
      <w:r>
        <w:t xml:space="preserve">We analysed LASI Wave 1 (2017–2019), a nationally representative survey of adults aged ≥45 years.</w:t>
      </w:r>
      <w:r>
        <w:rPr>
          <w:vertAlign w:val="superscript"/>
        </w:rPr>
        <w:t xml:space="preserve">(4,5)</w:t>
      </w:r>
      <w:r>
        <w:t xml:space="preserve"> </w:t>
      </w:r>
      <w:r>
        <w:t xml:space="preserve">The analytic sample was 30,996 adults with acceptable field spirometry, plausible values, and measured height. We defined four flags: GLI-PRISm (GLI-2012 ratio ≥70 with FEV1 &lt;80% predicted, the literature label); the GLI restrictive pattern (ratio ≥70 with FVC &lt;80% predicted); and a low FVC referenced to a nationally representative Indian reference derived in a companion analysis from the same programme, at both the lower limit of normal (z &lt;−1.64) and a fixed threshold (&lt;80% of the national-reference median).</w:t>
      </w:r>
    </w:p>
    <w:p>
      <w:pPr>
        <w:pStyle w:val="BodyText"/>
      </w:pPr>
      <w:r>
        <w:t xml:space="preserve">For each flag we computed its coverage (survey-weighted proportion flagged), the weighted prevalence of each outcome among flagged and unflagged adults (risk concentration), the adjusted odds ratio for each outcome (logistic regression adjusted for age, sex, residence, smoking, and schooling), the unweighted sensitivity and positive predictive value for each outcome, and the gain in discrimination (ΔAUC) from adding the flag to a model of age, sex, residence, smoking, and schooling. Outcomes were frailty (index ≥0.25), functional limitation, low grip strength (Asian Working Group for Sarcopenia thresholds), multimorbidity (≥2 conditions), and poor self-rated health. Because LASI Wave 1 is cross-sectional, results describe concurrent identification, not prediction. Analyses used Python (statsmodels, scikit-learn).</w:t>
      </w:r>
    </w:p>
    <w:bookmarkEnd w:id="11"/>
    <w:bookmarkStart w:id="12" w:name="results"/>
    <w:p>
      <w:pPr>
        <w:pStyle w:val="Heading2"/>
      </w:pPr>
      <w:r>
        <w:t xml:space="preserve">Results</w:t>
      </w:r>
    </w:p>
    <w:p>
      <w:pPr>
        <w:pStyle w:val="FirstParagraph"/>
      </w:pPr>
      <w:r>
        <w:rPr>
          <w:b/>
          <w:bCs/>
        </w:rPr>
        <w:t xml:space="preserve">Coverage.</w:t>
      </w:r>
      <w:r>
        <w:t xml:space="preserve"> </w:t>
      </w:r>
      <w:r>
        <w:t xml:space="preserve">GLI-PRISm flagged 40.6% of adults and the GLI restrictive pattern 37.8%. The correctly-referenced low FVC flagged far fewer: 7.4% at the LLN and 16.0% at the fixed threshold (Table 1).</w:t>
      </w:r>
    </w:p>
    <w:p>
      <w:pPr>
        <w:pStyle w:val="BodyText"/>
      </w:pPr>
      <w:r>
        <w:rPr>
          <w:b/>
          <w:bCs/>
        </w:rPr>
        <w:t xml:space="preserve">Risk concentration.</w:t>
      </w:r>
      <w:r>
        <w:t xml:space="preserve"> </w:t>
      </w:r>
      <w:r>
        <w:t xml:space="preserve">The large GLI net barely concentrated risk. Among adults flagged by GLI-PRISm, the prevalence of every outcome was close to that among the unflagged (risk ratios 0.93–1.13); for frailty and poor self-rated health the flagged group was, if anything, at slightly</w:t>
      </w:r>
      <w:r>
        <w:t xml:space="preserve"> </w:t>
      </w:r>
      <w:r>
        <w:rPr>
          <w:i/>
          <w:iCs/>
        </w:rPr>
        <w:t xml:space="preserve">lower</w:t>
      </w:r>
      <w:r>
        <w:t xml:space="preserve"> </w:t>
      </w:r>
      <w:r>
        <w:t xml:space="preserve">risk (Table 2). The correctly-referenced low FVC concentrated risk more: risk ratios reached 1.28 (low grip) and 1.39 (multimorbidity) for the fixed threshold, and those flagged had a higher prevalence of every outcome than the unflagged.</w:t>
      </w:r>
    </w:p>
    <w:p>
      <w:pPr>
        <w:pStyle w:val="BodyText"/>
      </w:pPr>
      <w:r>
        <w:rPr>
          <w:b/>
          <w:bCs/>
        </w:rPr>
        <w:t xml:space="preserve">Adjusted associations.</w:t>
      </w:r>
      <w:r>
        <w:t xml:space="preserve"> </w:t>
      </w:r>
      <w:r>
        <w:t xml:space="preserve">The correctly-referenced low FVC showed stronger adjusted associations with ageing outcomes than GLI-PRISm (Figure 1b). Mean adjusted odds ratios across the five outcomes were 1.30 (national LLN) and 1.27 (national fixed) versus 1.18 (GLI-PRISm) and 1.16 (GLI restrictive). The contrast was clearest for low grip strength (odds ratio 1.51 and 1.53 for the national reference versus 1.35 for GLI-PRISm) and frailty (1.29–1.33 versus 1.20). The trade-off between coverage and risk was monotonic: flags that covered fewer people carried higher average odds ratios (Figure 1a).</w:t>
      </w:r>
    </w:p>
    <w:p>
      <w:pPr>
        <w:pStyle w:val="BodyText"/>
      </w:pPr>
      <w:r>
        <w:rPr>
          <w:b/>
          <w:bCs/>
        </w:rPr>
        <w:t xml:space="preserve">Discrimination.</w:t>
      </w:r>
      <w:r>
        <w:t xml:space="preserve"> </w:t>
      </w:r>
      <w:r>
        <w:t xml:space="preserve">Despite these differences, no spirometric flag materially improved discrimination for any outcome once age and sex were accounted for: the gain in AUC from adding any flag to the demographic model was ≤0.004 throughout. Spirometry, however referenced, was not a strong standalone identifier of concurrent frailty or disability.</w:t>
      </w:r>
    </w:p>
    <w:bookmarkEnd w:id="12"/>
    <w:bookmarkStart w:id="13" w:name="discussion"/>
    <w:p>
      <w:pPr>
        <w:pStyle w:val="Heading2"/>
      </w:pPr>
      <w:r>
        <w:t xml:space="preserve">Discussion</w:t>
      </w:r>
    </w:p>
    <w:p>
      <w:pPr>
        <w:pStyle w:val="FirstParagraph"/>
      </w:pPr>
      <w:r>
        <w:t xml:space="preserve">Compared head to head in a national sample, the GLI-PRISm label and a correctly-referenced low FVC behave very differently as identifiers of ageing morbidity, and neither behaves as impressively as the PRISm literature might suggest. GLI-PRISm flags two-fifths of older Indians at essentially average risk; it is a large, dilute net whose associations with frailty and disability, though statistically present, reflect modest odds ratios spread across a huge flagged group. A low FVC read against a population-appropriate reference flags a much smaller group at genuinely higher relative risk, with larger adjusted odds ratios and a defensible denominator. If one must choose a spirometric flag to prompt further geriatric assessment, the correctly-referenced low FVC is the better choice.</w:t>
      </w:r>
    </w:p>
    <w:p>
      <w:pPr>
        <w:pStyle w:val="BodyText"/>
      </w:pPr>
      <w:r>
        <w:t xml:space="preserve">But the more important finding is the one that constrains both. No spirometric flag added meaningful discrimination beyond age and sex. Spirometry in this cross-section is not a powerful identifier of who is frail or disabled; demographics carry most of the signal. This tempers the growing tendency to promote PRISm as a systemic ageing biomarker: in a nationally representative older population, its incremental value for identifying concurrent morbidity is small, and much of its apparent reach is an artefact of a label applied too widely. The correct response is neither to discard spirometry nor to oversell it, but to reference it appropriately and to judge it by risk concentration and incremental value rather than by association alone.</w:t>
      </w:r>
    </w:p>
    <w:p>
      <w:pPr>
        <w:pStyle w:val="BodyText"/>
      </w:pPr>
      <w:r>
        <w:rPr>
          <w:b/>
          <w:bCs/>
        </w:rPr>
        <w:t xml:space="preserve">Limitations.</w:t>
      </w:r>
      <w:r>
        <w:t xml:space="preserve"> </w:t>
      </w:r>
      <w:r>
        <w:t xml:space="preserve">The design is cross-sectional, so this is concurrent identification, not prognosis; whether a correctly-referenced low FVC predicts</w:t>
      </w:r>
      <w:r>
        <w:t xml:space="preserve"> </w:t>
      </w:r>
      <w:r>
        <w:rPr>
          <w:i/>
          <w:iCs/>
        </w:rPr>
        <w:t xml:space="preserve">incident</w:t>
      </w:r>
      <w:r>
        <w:t xml:space="preserve"> </w:t>
      </w:r>
      <w:r>
        <w:t xml:space="preserve">frailty and disability is a question for LASI Wave 2, and is where any genuine prognostic claim must be tested. Spirometry was field-grade and pre-bronchodilator. The national reference, though derived from a large representative sample, is itself first-generation and awaits GAMLSS refinement. Grip-based low muscle strength and the frailty index share physiological ground with reduced lung function, which may inflate those particular associations.</w:t>
      </w:r>
    </w:p>
    <w:bookmarkEnd w:id="13"/>
    <w:bookmarkStart w:id="14" w:name="conclusions"/>
    <w:p>
      <w:pPr>
        <w:pStyle w:val="Heading2"/>
      </w:pPr>
      <w:r>
        <w:t xml:space="preserve">Conclusions</w:t>
      </w:r>
    </w:p>
    <w:p>
      <w:pPr>
        <w:pStyle w:val="FirstParagraph"/>
      </w:pPr>
      <w:r>
        <w:t xml:space="preserve">For identifying frailty and disability in older Indians, a low FVC referenced to a nationally representative standard is a more defensible spirometric flag than GLI-labelled PRISm: it flags fewer people at higher risk, with stronger adjusted associations and an honest denominator. Yet no spirometric flag adds much beyond age and sex, so spirometry should be referenced correctly and used modestly, not promoted as a stand-alone marker of systemic ageing. Prospective data are needed before any prognostic claim.</w:t>
      </w:r>
    </w:p>
    <w:bookmarkEnd w:id="14"/>
    <w:bookmarkStart w:id="15" w:name="declarations"/>
    <w:p>
      <w:pPr>
        <w:pStyle w:val="Heading2"/>
      </w:pPr>
      <w:r>
        <w:t xml:space="preserve">Declarations</w:t>
      </w:r>
    </w:p>
    <w:p>
      <w:pPr>
        <w:pStyle w:val="FirstParagraph"/>
      </w:pPr>
      <w:r>
        <w:rPr>
          <w:b/>
          <w:bCs/>
        </w:rPr>
        <w:t xml:space="preserve">Ethics:</w:t>
      </w:r>
      <w:r>
        <w:t xml:space="preserve"> </w:t>
      </w:r>
      <w:r>
        <w:t xml:space="preserve">Secondary analysis of de-identified public LASI Wave 1 data (ICMR approval and consent obtained by LASI); no additional approval required.</w:t>
      </w:r>
    </w:p>
    <w:p>
      <w:pPr>
        <w:pStyle w:val="BodyText"/>
      </w:pPr>
      <w:r>
        <w:rPr>
          <w:b/>
          <w:bCs/>
        </w:rPr>
        <w:t xml:space="preserve">Funding:</w:t>
      </w:r>
      <w:r>
        <w:t xml:space="preserve"> </w:t>
      </w:r>
      <w:r>
        <w:t xml:space="preserve">None.</w:t>
      </w:r>
      <w:r>
        <w:t xml:space="preserve"> </w:t>
      </w:r>
      <w:r>
        <w:rPr>
          <w:b/>
          <w:bCs/>
        </w:rPr>
        <w:t xml:space="preserve">Conflicts of interest:</w:t>
      </w:r>
      <w:r>
        <w:t xml:space="preserve"> </w:t>
      </w:r>
      <w:r>
        <w:t xml:space="preserve">None declared.</w:t>
      </w:r>
    </w:p>
    <w:p>
      <w:pPr>
        <w:pStyle w:val="BodyText"/>
      </w:pPr>
      <w:r>
        <w:rPr>
          <w:b/>
          <w:bCs/>
        </w:rPr>
        <w:t xml:space="preserve">Data availability:</w:t>
      </w:r>
      <w:r>
        <w:t xml:space="preserve"> </w:t>
      </w:r>
      <w:r>
        <w:t xml:space="preserve">LASI data via g2aging.org and IIPS; analysis code available from the author on request.</w:t>
      </w:r>
    </w:p>
    <w:p>
      <w:pPr>
        <w:pStyle w:val="BodyText"/>
      </w:pPr>
      <w:r>
        <w:rPr>
          <w:b/>
          <w:bCs/>
        </w:rPr>
        <w:t xml:space="preserve">Author contributions:</w:t>
      </w:r>
      <w:r>
        <w:t xml:space="preserve"> </w:t>
      </w:r>
      <w:r>
        <w:t xml:space="preserve">The single author conceived, analysed, drafted, and approved the work.</w:t>
      </w:r>
    </w:p>
    <w:p>
      <w:pPr>
        <w:pStyle w:val="BodyText"/>
      </w:pPr>
      <w:r>
        <w:rPr>
          <w:b/>
          <w:bCs/>
        </w:rPr>
        <w:t xml:space="preserve">Declaration of generative AI:</w:t>
      </w:r>
      <w:r>
        <w:t xml:space="preserve"> </w:t>
      </w:r>
      <w:r>
        <w:t xml:space="preserve">A generative AI assistant was used for language editing and analysis/figure code; all conception, analysis, interpretation, and claims are the author’s own, verified against the analysis and primary sources, with full responsibility retained.</w:t>
      </w:r>
    </w:p>
    <w:bookmarkEnd w:id="15"/>
    <w:bookmarkStart w:id="16" w:name="references"/>
    <w:p>
      <w:pPr>
        <w:pStyle w:val="Heading2"/>
      </w:pPr>
      <w:r>
        <w:t xml:space="preserve">References</w:t>
      </w:r>
    </w:p>
    <w:p>
      <w:pPr>
        <w:pStyle w:val="Compact"/>
        <w:numPr>
          <w:ilvl w:val="0"/>
          <w:numId w:val="1001"/>
        </w:numPr>
      </w:pPr>
      <w:r>
        <w:t xml:space="preserve">Wan ES, Balte P, Schwartz JE, Bhatt SP, Cassano PA, Couper D, et al. Association between preserved ratio impaired spirometry and clinical outcomes in US adults. JAMA. 2021;326(22):2287-2298.</w:t>
      </w:r>
    </w:p>
    <w:p>
      <w:pPr>
        <w:pStyle w:val="Compact"/>
        <w:numPr>
          <w:ilvl w:val="0"/>
          <w:numId w:val="1001"/>
        </w:numPr>
      </w:pPr>
      <w:r>
        <w:t xml:space="preserve">Guerra S, Sherrill DL, Venker C, Ceccato CM, Halonen M, Martinez FD. Morbidity and mortality associated with the restrictive spirometric pattern: a longitudinal study. Thorax. 2010;65(6):499-504.</w:t>
      </w:r>
    </w:p>
    <w:p>
      <w:pPr>
        <w:pStyle w:val="Compact"/>
        <w:numPr>
          <w:ilvl w:val="0"/>
          <w:numId w:val="1001"/>
        </w:numPr>
      </w:pPr>
      <w:r>
        <w:t xml:space="preserve">Sonnappa S, Lum S, Kirkby J, Bonner R, Wade A, Subramanya V, et al. Disparities in pulmonary function in healthy children across the Indian urban-rural continuum. Am J Respir Crit Care Med. 2015;191(1):79-86.</w:t>
      </w:r>
    </w:p>
    <w:p>
      <w:pPr>
        <w:pStyle w:val="Compact"/>
        <w:numPr>
          <w:ilvl w:val="0"/>
          <w:numId w:val="1001"/>
        </w:numPr>
      </w:pPr>
      <w:r>
        <w:t xml:space="preserve">Perianayagam A, Bloom D, Lee J, Parasuraman S, Sekher TV, Mohanty SK, et al. Cohort profile: the Longitudinal Ageing Study in India (LASI). Int J Epidemiol. 2022;51(4):e167-e176.</w:t>
      </w:r>
    </w:p>
    <w:p>
      <w:pPr>
        <w:pStyle w:val="Compact"/>
        <w:numPr>
          <w:ilvl w:val="0"/>
          <w:numId w:val="1001"/>
        </w:numPr>
      </w:pPr>
      <w:r>
        <w:t xml:space="preserve">International Institute for Population Sciences, Harvard T.H. Chan School of Public Health, University of Southern California. Longitudinal Ageing Study in India (LASI) Wave 1, 2017–18: India report. Mumbai: IIPS; 2020.</w:t>
      </w:r>
    </w:p>
    <w:p>
      <w:pPr>
        <w:pStyle w:val="Compact"/>
        <w:numPr>
          <w:ilvl w:val="0"/>
          <w:numId w:val="1001"/>
        </w:numPr>
      </w:pPr>
      <w:r>
        <w:t xml:space="preserve">Chen LK, Woo J, Assantachai P, Auyeung TW, Chou MY, Iijima K, et al. Asian Working Group for Sarcopenia: 2019 consensus update. J Am Med Dir Assoc. 2020;21(3):300-307.e2.</w:t>
      </w:r>
    </w:p>
    <w:bookmarkEnd w:id="16"/>
    <w:bookmarkStart w:id="17" w:name="tables"/>
    <w:p>
      <w:pPr>
        <w:pStyle w:val="Heading2"/>
      </w:pPr>
      <w:r>
        <w:t xml:space="preserve">Tables</w:t>
      </w:r>
    </w:p>
    <w:p>
      <w:pPr>
        <w:pStyle w:val="FirstParagraph"/>
      </w:pPr>
      <w:r>
        <w:rPr>
          <w:b/>
          <w:bCs/>
        </w:rPr>
        <w:t xml:space="preserve">Table 1. Coverage and mean performance of four spirometric flags (n = 30,996).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Flag</w:t>
            </w:r>
          </w:p>
        </w:tc>
        <w:tc>
          <w:tcPr/>
          <w:p>
            <w:pPr>
              <w:pStyle w:val="Compact"/>
            </w:pPr>
            <w:r>
              <w:t xml:space="preserve">Coverage flagged, %</w:t>
            </w:r>
          </w:p>
        </w:tc>
        <w:tc>
          <w:tcPr/>
          <w:p>
            <w:pPr>
              <w:pStyle w:val="Compact"/>
            </w:pPr>
            <w:r>
              <w:t xml:space="preserve">Mean adjusted OR</w:t>
            </w:r>
          </w:p>
        </w:tc>
        <w:tc>
          <w:tcPr/>
          <w:p>
            <w:pPr>
              <w:pStyle w:val="Compact"/>
            </w:pPr>
            <w:r>
              <w:t xml:space="preserve">Mean risk among flagged, %</w:t>
            </w:r>
          </w:p>
        </w:tc>
        <w:tc>
          <w:tcPr/>
          <w:p>
            <w:pPr>
              <w:pStyle w:val="Compact"/>
            </w:pPr>
            <w:r>
              <w:t xml:space="preserve">Mean PPV, %</w:t>
            </w:r>
          </w:p>
        </w:tc>
      </w:tr>
      <w:tr>
        <w:tc>
          <w:tcPr/>
          <w:p>
            <w:pPr>
              <w:pStyle w:val="Compact"/>
            </w:pPr>
            <w:r>
              <w:t xml:space="preserve">GLI-PRISm (fixed)</w:t>
            </w:r>
          </w:p>
        </w:tc>
        <w:tc>
          <w:tcPr/>
          <w:p>
            <w:pPr>
              <w:pStyle w:val="Compact"/>
            </w:pPr>
            <w:r>
              <w:t xml:space="preserve">40.6</w:t>
            </w:r>
          </w:p>
        </w:tc>
        <w:tc>
          <w:tcPr/>
          <w:p>
            <w:pPr>
              <w:pStyle w:val="Compact"/>
            </w:pPr>
            <w:r>
              <w:t xml:space="preserve">1.18</w:t>
            </w:r>
          </w:p>
        </w:tc>
        <w:tc>
          <w:tcPr/>
          <w:p>
            <w:pPr>
              <w:pStyle w:val="Compact"/>
            </w:pPr>
            <w:r>
              <w:t xml:space="preserve">37.1</w:t>
            </w:r>
          </w:p>
        </w:tc>
        <w:tc>
          <w:tcPr/>
          <w:p>
            <w:pPr>
              <w:pStyle w:val="Compact"/>
            </w:pPr>
            <w:r>
              <w:t xml:space="preserve">34.0</w:t>
            </w:r>
          </w:p>
        </w:tc>
      </w:tr>
      <w:tr>
        <w:tc>
          <w:tcPr/>
          <w:p>
            <w:pPr>
              <w:pStyle w:val="Compact"/>
            </w:pPr>
            <w:r>
              <w:t xml:space="preserve">GLI restrictive pattern (fixed)</w:t>
            </w:r>
          </w:p>
        </w:tc>
        <w:tc>
          <w:tcPr/>
          <w:p>
            <w:pPr>
              <w:pStyle w:val="Compact"/>
            </w:pPr>
            <w:r>
              <w:t xml:space="preserve">37.8</w:t>
            </w:r>
          </w:p>
        </w:tc>
        <w:tc>
          <w:tcPr/>
          <w:p>
            <w:pPr>
              <w:pStyle w:val="Compact"/>
            </w:pPr>
            <w:r>
              <w:t xml:space="preserve">1.16</w:t>
            </w:r>
          </w:p>
        </w:tc>
        <w:tc>
          <w:tcPr/>
          <w:p>
            <w:pPr>
              <w:pStyle w:val="Compact"/>
            </w:pPr>
            <w:r>
              <w:t xml:space="preserve">37.6</w:t>
            </w:r>
          </w:p>
        </w:tc>
        <w:tc>
          <w:tcPr/>
          <w:p>
            <w:pPr>
              <w:pStyle w:val="Compact"/>
            </w:pPr>
            <w:r>
              <w:t xml:space="preserve">34.3</w:t>
            </w:r>
          </w:p>
        </w:tc>
      </w:tr>
      <w:tr>
        <w:tc>
          <w:tcPr/>
          <w:p>
            <w:pPr>
              <w:pStyle w:val="Compact"/>
            </w:pPr>
            <w:r>
              <w:t xml:space="preserve">National low-FVC (LLN)</w:t>
            </w:r>
          </w:p>
        </w:tc>
        <w:tc>
          <w:tcPr/>
          <w:p>
            <w:pPr>
              <w:pStyle w:val="Compact"/>
            </w:pPr>
            <w:r>
              <w:t xml:space="preserve">7.4</w:t>
            </w:r>
          </w:p>
        </w:tc>
        <w:tc>
          <w:tcPr/>
          <w:p>
            <w:pPr>
              <w:pStyle w:val="Compact"/>
            </w:pPr>
            <w:r>
              <w:t xml:space="preserve">1.30</w:t>
            </w:r>
          </w:p>
        </w:tc>
        <w:tc>
          <w:tcPr/>
          <w:p>
            <w:pPr>
              <w:pStyle w:val="Compact"/>
            </w:pPr>
            <w:r>
              <w:t xml:space="preserve">40.8</w:t>
            </w:r>
          </w:p>
        </w:tc>
        <w:tc>
          <w:tcPr/>
          <w:p>
            <w:pPr>
              <w:pStyle w:val="Compact"/>
            </w:pPr>
            <w:r>
              <w:t xml:space="preserve">38.5</w:t>
            </w:r>
          </w:p>
        </w:tc>
      </w:tr>
      <w:tr>
        <w:tc>
          <w:tcPr/>
          <w:p>
            <w:pPr>
              <w:pStyle w:val="Compact"/>
            </w:pPr>
            <w:r>
              <w:t xml:space="preserve">National low-FVC (fixed)</w:t>
            </w:r>
          </w:p>
        </w:tc>
        <w:tc>
          <w:tcPr/>
          <w:p>
            <w:pPr>
              <w:pStyle w:val="Compact"/>
            </w:pPr>
            <w:r>
              <w:t xml:space="preserve">16.0</w:t>
            </w:r>
          </w:p>
        </w:tc>
        <w:tc>
          <w:tcPr/>
          <w:p>
            <w:pPr>
              <w:pStyle w:val="Compact"/>
            </w:pPr>
            <w:r>
              <w:t xml:space="preserve">1.27</w:t>
            </w:r>
          </w:p>
        </w:tc>
        <w:tc>
          <w:tcPr/>
          <w:p>
            <w:pPr>
              <w:pStyle w:val="Compact"/>
            </w:pPr>
            <w:r>
              <w:t xml:space="preserve">42.6</w:t>
            </w:r>
          </w:p>
        </w:tc>
        <w:tc>
          <w:tcPr/>
          <w:p>
            <w:pPr>
              <w:pStyle w:val="Compact"/>
            </w:pPr>
            <w:r>
              <w:t xml:space="preserve">38.5</w:t>
            </w:r>
          </w:p>
        </w:tc>
      </w:tr>
    </w:tbl>
    <w:p>
      <w:pPr>
        <w:pStyle w:val="BodyText"/>
      </w:pPr>
      <w:r>
        <w:t xml:space="preserve">Mean values are averaged across the five ageing outcomes. OR, odds ratio; PPV, positive predictive value.</w:t>
      </w:r>
    </w:p>
    <w:p>
      <w:pPr>
        <w:pStyle w:val="BodyText"/>
      </w:pPr>
      <w:r>
        <w:rPr>
          <w:b/>
          <w:bCs/>
        </w:rPr>
        <w:t xml:space="preserve">Table 2. Adjusted odds ratios (95% CI) for ageing outcomes by spirometric flag.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Outcome</w:t>
            </w:r>
          </w:p>
        </w:tc>
        <w:tc>
          <w:tcPr/>
          <w:p>
            <w:pPr>
              <w:pStyle w:val="Compact"/>
            </w:pPr>
            <w:r>
              <w:t xml:space="preserve">GLI-PRISm</w:t>
            </w:r>
          </w:p>
        </w:tc>
        <w:tc>
          <w:tcPr/>
          <w:p>
            <w:pPr>
              <w:pStyle w:val="Compact"/>
            </w:pPr>
            <w:r>
              <w:t xml:space="preserve">GLI restrictive</w:t>
            </w:r>
          </w:p>
        </w:tc>
        <w:tc>
          <w:tcPr/>
          <w:p>
            <w:pPr>
              <w:pStyle w:val="Compact"/>
            </w:pPr>
            <w:r>
              <w:t xml:space="preserve">National low-FVC (LLN)</w:t>
            </w:r>
          </w:p>
        </w:tc>
        <w:tc>
          <w:tcPr/>
          <w:p>
            <w:pPr>
              <w:pStyle w:val="Compact"/>
            </w:pPr>
            <w:r>
              <w:t xml:space="preserve">National low-FVC (fixed)</w:t>
            </w:r>
          </w:p>
        </w:tc>
      </w:tr>
      <w:tr>
        <w:tc>
          <w:tcPr/>
          <w:p>
            <w:pPr>
              <w:pStyle w:val="Compact"/>
            </w:pPr>
            <w:r>
              <w:t xml:space="preserve">Frailty</w:t>
            </w:r>
          </w:p>
        </w:tc>
        <w:tc>
          <w:tcPr/>
          <w:p>
            <w:pPr>
              <w:pStyle w:val="Compact"/>
            </w:pPr>
            <w:r>
              <w:t xml:space="preserve">1.20 (1.14–1.26)</w:t>
            </w:r>
          </w:p>
        </w:tc>
        <w:tc>
          <w:tcPr/>
          <w:p>
            <w:pPr>
              <w:pStyle w:val="Compact"/>
            </w:pPr>
            <w:r>
              <w:t xml:space="preserve">1.16 (1.10–1.22)</w:t>
            </w:r>
          </w:p>
        </w:tc>
        <w:tc>
          <w:tcPr/>
          <w:p>
            <w:pPr>
              <w:pStyle w:val="Compact"/>
            </w:pPr>
            <w:r>
              <w:t xml:space="preserve">1.33 (1.21–1.47)</w:t>
            </w:r>
          </w:p>
        </w:tc>
        <w:tc>
          <w:tcPr/>
          <w:p>
            <w:pPr>
              <w:pStyle w:val="Compact"/>
            </w:pPr>
            <w:r>
              <w:t xml:space="preserve">1.29 (1.21–1.38)</w:t>
            </w:r>
          </w:p>
        </w:tc>
      </w:tr>
      <w:tr>
        <w:tc>
          <w:tcPr/>
          <w:p>
            <w:pPr>
              <w:pStyle w:val="Compact"/>
            </w:pPr>
            <w:r>
              <w:t xml:space="preserve">Functional limitation</w:t>
            </w:r>
          </w:p>
        </w:tc>
        <w:tc>
          <w:tcPr/>
          <w:p>
            <w:pPr>
              <w:pStyle w:val="Compact"/>
            </w:pPr>
            <w:r>
              <w:t xml:space="preserve">1.16 (1.11–1.22)</w:t>
            </w:r>
          </w:p>
        </w:tc>
        <w:tc>
          <w:tcPr/>
          <w:p>
            <w:pPr>
              <w:pStyle w:val="Compact"/>
            </w:pPr>
            <w:r>
              <w:t xml:space="preserve">1.11 (1.06–1.17)</w:t>
            </w:r>
          </w:p>
        </w:tc>
        <w:tc>
          <w:tcPr/>
          <w:p>
            <w:pPr>
              <w:pStyle w:val="Compact"/>
            </w:pPr>
            <w:r>
              <w:t xml:space="preserve">1.27 (1.16–1.40)</w:t>
            </w:r>
          </w:p>
        </w:tc>
        <w:tc>
          <w:tcPr/>
          <w:p>
            <w:pPr>
              <w:pStyle w:val="Compact"/>
            </w:pPr>
            <w:r>
              <w:t xml:space="preserve">1.23 (1.15–1.31)</w:t>
            </w:r>
          </w:p>
        </w:tc>
      </w:tr>
      <w:tr>
        <w:tc>
          <w:tcPr/>
          <w:p>
            <w:pPr>
              <w:pStyle w:val="Compact"/>
            </w:pPr>
            <w:r>
              <w:t xml:space="preserve">Low grip strength</w:t>
            </w:r>
          </w:p>
        </w:tc>
        <w:tc>
          <w:tcPr/>
          <w:p>
            <w:pPr>
              <w:pStyle w:val="Compact"/>
            </w:pPr>
            <w:r>
              <w:t xml:space="preserve">1.35 (1.29–1.42)</w:t>
            </w:r>
          </w:p>
        </w:tc>
        <w:tc>
          <w:tcPr/>
          <w:p>
            <w:pPr>
              <w:pStyle w:val="Compact"/>
            </w:pPr>
            <w:r>
              <w:t xml:space="preserve">1.33 (1.27–1.40)</w:t>
            </w:r>
          </w:p>
        </w:tc>
        <w:tc>
          <w:tcPr/>
          <w:p>
            <w:pPr>
              <w:pStyle w:val="Compact"/>
            </w:pPr>
            <w:r>
              <w:t xml:space="preserve">1.51 (1.38–1.66)</w:t>
            </w:r>
          </w:p>
        </w:tc>
        <w:tc>
          <w:tcPr/>
          <w:p>
            <w:pPr>
              <w:pStyle w:val="Compact"/>
            </w:pPr>
            <w:r>
              <w:t xml:space="preserve">1.53 (1.43–1.63)</w:t>
            </w:r>
          </w:p>
        </w:tc>
      </w:tr>
      <w:tr>
        <w:tc>
          <w:tcPr/>
          <w:p>
            <w:pPr>
              <w:pStyle w:val="Compact"/>
            </w:pPr>
            <w:r>
              <w:t xml:space="preserve">Multimorbidity (≥2)</w:t>
            </w:r>
          </w:p>
        </w:tc>
        <w:tc>
          <w:tcPr/>
          <w:p>
            <w:pPr>
              <w:pStyle w:val="Compact"/>
            </w:pPr>
            <w:r>
              <w:t xml:space="preserve">1.17 (1.10–1.25)</w:t>
            </w:r>
          </w:p>
        </w:tc>
        <w:tc>
          <w:tcPr/>
          <w:p>
            <w:pPr>
              <w:pStyle w:val="Compact"/>
            </w:pPr>
            <w:r>
              <w:t xml:space="preserve">1.22 (1.15–1.30)</w:t>
            </w:r>
          </w:p>
        </w:tc>
        <w:tc>
          <w:tcPr/>
          <w:p>
            <w:pPr>
              <w:pStyle w:val="Compact"/>
            </w:pPr>
            <w:r>
              <w:t xml:space="preserve">1.26 (1.12–1.41)</w:t>
            </w:r>
          </w:p>
        </w:tc>
        <w:tc>
          <w:tcPr/>
          <w:p>
            <w:pPr>
              <w:pStyle w:val="Compact"/>
            </w:pPr>
            <w:r>
              <w:t xml:space="preserve">1.24 (1.15–1.35)</w:t>
            </w:r>
          </w:p>
        </w:tc>
      </w:tr>
      <w:tr>
        <w:tc>
          <w:tcPr/>
          <w:p>
            <w:pPr>
              <w:pStyle w:val="Compact"/>
            </w:pPr>
            <w:r>
              <w:t xml:space="preserve">Poor self-rated health</w:t>
            </w:r>
          </w:p>
        </w:tc>
        <w:tc>
          <w:tcPr/>
          <w:p>
            <w:pPr>
              <w:pStyle w:val="Compact"/>
            </w:pPr>
            <w:r>
              <w:t xml:space="preserve">1.03 (0.98–1.09)</w:t>
            </w:r>
          </w:p>
        </w:tc>
        <w:tc>
          <w:tcPr/>
          <w:p>
            <w:pPr>
              <w:pStyle w:val="Compact"/>
            </w:pPr>
            <w:r>
              <w:t xml:space="preserve">1.00 (0.95–1.05)</w:t>
            </w:r>
          </w:p>
        </w:tc>
        <w:tc>
          <w:tcPr/>
          <w:p>
            <w:pPr>
              <w:pStyle w:val="Compact"/>
            </w:pPr>
            <w:r>
              <w:t xml:space="preserve">1.13 (1.03–1.24)</w:t>
            </w:r>
          </w:p>
        </w:tc>
        <w:tc>
          <w:tcPr/>
          <w:p>
            <w:pPr>
              <w:pStyle w:val="Compact"/>
            </w:pPr>
            <w:r>
              <w:t xml:space="preserve">1.08 (1.01–1.16)</w:t>
            </w:r>
          </w:p>
        </w:tc>
      </w:tr>
    </w:tbl>
    <w:p>
      <w:pPr>
        <w:pStyle w:val="BodyText"/>
      </w:pPr>
      <w:r>
        <w:t xml:space="preserve">Adjusted for age, sex, rural residence, current smoking, and schooling. Gain in AUC over the demographic model was ≤0.004 for every flag and outcome.</w:t>
      </w:r>
    </w:p>
    <w:bookmarkEnd w:id="17"/>
    <w:bookmarkStart w:id="18" w:name="figure-legend"/>
    <w:p>
      <w:pPr>
        <w:pStyle w:val="Heading2"/>
      </w:pPr>
      <w:r>
        <w:t xml:space="preserve">Figure legend</w:t>
      </w:r>
    </w:p>
    <w:p>
      <w:pPr>
        <w:pStyle w:val="FirstParagraph"/>
      </w:pPr>
      <w:r>
        <w:rPr>
          <w:b/>
          <w:bCs/>
        </w:rPr>
        <w:t xml:space="preserve">Figure 1.</w:t>
      </w:r>
      <w:r>
        <w:t xml:space="preserve"> </w:t>
      </w:r>
      <w:r>
        <w:t xml:space="preserve">(a) Coverage (proportion flagged) versus mean adjusted odds ratio across five ageing outcomes: flags that cover fewer adults concentrate more risk, with the correctly-referenced low FVC (green) flagging far fewer people at higher risk than GLI-PRISm (red). (b) Adjusted odds ratios (95% CI) by flag for each outcome; the national-reference low FVC shows stronger associations, most clearly for low grip strength.</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2026-07-08T04:35:24Z</dcterms:created>
  <dcterms:modified xsi:type="dcterms:W3CDTF">2026-07-08T04:35:24Z</dcterms:modified>
</cp:coreProperties>
</file>

<file path=docProps/custom.xml><?xml version="1.0" encoding="utf-8"?>
<Properties xmlns="http://schemas.openxmlformats.org/officeDocument/2006/custom-properties" xmlns:vt="http://schemas.openxmlformats.org/officeDocument/2006/docPropsVTypes"/>
</file>