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302cc0b80a7f8950e88beaac21c2a1d66c2409"/>
    <w:p>
      <w:pPr>
        <w:pStyle w:val="Heading1"/>
      </w:pPr>
      <w:r>
        <w:t xml:space="preserve">STROBE Statement — Checklist (Cross-Sectional Study)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Which Spirometric Flag Better Identifies Frailty and Disability in Older Indians? (LASI Wave 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Reported (section)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Title/abstract 1</w:t>
            </w:r>
          </w:p>
        </w:tc>
        <w:tc>
          <w:tcPr/>
          <w:p>
            <w:pPr>
              <w:pStyle w:val="Compact"/>
            </w:pPr>
            <w:r>
              <w:t xml:space="preserve">Design; balanced summary</w:t>
            </w:r>
          </w:p>
        </w:tc>
        <w:tc>
          <w:tcPr/>
          <w:p>
            <w:pPr>
              <w:pStyle w:val="Compact"/>
            </w:pPr>
            <w:r>
              <w:t xml:space="preserve">Title; structured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2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 3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Introduction (final paragraph)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4</w:t>
            </w:r>
          </w:p>
        </w:tc>
        <w:tc>
          <w:tcPr/>
          <w:p>
            <w:pPr>
              <w:pStyle w:val="Compact"/>
            </w:pPr>
            <w:r>
              <w:t xml:space="preserve">Design elements</w:t>
            </w:r>
          </w:p>
        </w:tc>
        <w:tc>
          <w:tcPr/>
          <w:p>
            <w:pPr>
              <w:pStyle w:val="Compact"/>
            </w:pPr>
            <w:r>
              <w:t xml:space="preserve">Methods — secondary cross-sectional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5</w:t>
            </w:r>
          </w:p>
        </w:tc>
        <w:tc>
          <w:tcPr/>
          <w:p>
            <w:pPr>
              <w:pStyle w:val="Compact"/>
            </w:pPr>
            <w:r>
              <w:t xml:space="preserve">Setting, dates</w:t>
            </w:r>
          </w:p>
        </w:tc>
        <w:tc>
          <w:tcPr/>
          <w:p>
            <w:pPr>
              <w:pStyle w:val="Compact"/>
            </w:pPr>
            <w:r>
              <w:t xml:space="preserve">Methods — LASI 2017–2019,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6</w:t>
            </w:r>
          </w:p>
        </w:tc>
        <w:tc>
          <w:tcPr/>
          <w:p>
            <w:pPr>
              <w:pStyle w:val="Compact"/>
            </w:pPr>
            <w:r>
              <w:t xml:space="preserve">Eligibility/selection</w:t>
            </w:r>
          </w:p>
        </w:tc>
        <w:tc>
          <w:tcPr/>
          <w:p>
            <w:pPr>
              <w:pStyle w:val="Compact"/>
            </w:pPr>
            <w:r>
              <w:t xml:space="preserve">Methods — n=30,996 acceptable spirometry ≥45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7</w:t>
            </w:r>
          </w:p>
        </w:tc>
        <w:tc>
          <w:tcPr/>
          <w:p>
            <w:pPr>
              <w:pStyle w:val="Compact"/>
            </w:pPr>
            <w:r>
              <w:t xml:space="preserve">Flags/outcomes</w:t>
            </w:r>
          </w:p>
        </w:tc>
        <w:tc>
          <w:tcPr/>
          <w:p>
            <w:pPr>
              <w:pStyle w:val="Compact"/>
            </w:pPr>
            <w:r>
              <w:t xml:space="preserve">Methods — four spirometric flags; five ageing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8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Methods — GLI-2012 and national-reference FVC; outcome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9</w:t>
            </w:r>
          </w:p>
        </w:tc>
        <w:tc>
          <w:tcPr/>
          <w:p>
            <w:pPr>
              <w:pStyle w:val="Compact"/>
            </w:pPr>
            <w:r>
              <w:t xml:space="preserve">Bias addressed</w:t>
            </w:r>
          </w:p>
        </w:tc>
        <w:tc>
          <w:tcPr/>
          <w:p>
            <w:pPr>
              <w:pStyle w:val="Compact"/>
            </w:pPr>
            <w:r>
              <w:t xml:space="preserve">Adjusted models; identification framing; cross-sectional 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size 10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n=30,996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11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Fixed and LLN thresholds; coverage, risk ratio, OR, PPV, ΔAUC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12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Methods — weighted prevalence, logistic regression,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13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Methods/Results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14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Table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data 15</w:t>
            </w:r>
          </w:p>
        </w:tc>
        <w:tc>
          <w:tcPr/>
          <w:p>
            <w:pPr>
              <w:pStyle w:val="Compact"/>
            </w:pPr>
            <w:r>
              <w:t xml:space="preserve">Outcomes</w:t>
            </w:r>
          </w:p>
        </w:tc>
        <w:tc>
          <w:tcPr/>
          <w:p>
            <w:pPr>
              <w:pStyle w:val="Compact"/>
            </w:pPr>
            <w:r>
              <w:t xml:space="preserve">Table 2;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results 16</w:t>
            </w:r>
          </w:p>
        </w:tc>
        <w:tc>
          <w:tcPr/>
          <w:p>
            <w:pPr>
              <w:pStyle w:val="Compact"/>
            </w:pPr>
            <w:r>
              <w:t xml:space="preserve">Estimates + CIs</w:t>
            </w:r>
          </w:p>
        </w:tc>
        <w:tc>
          <w:tcPr/>
          <w:p>
            <w:pPr>
              <w:pStyle w:val="Compact"/>
            </w:pPr>
            <w:r>
              <w:t xml:space="preserve">Table 2;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analyses 17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Four flags × five outcomes; ΔAUC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results 18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Discussion (opening)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 19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Discussion — Limitations (cross-sectional emphasised)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 20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Discussion;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Generalisability 21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— national sample; identification not prognosis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22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Title page — none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2026-07-08T04:35:24Z</dcterms:created>
  <dcterms:modified xsi:type="dcterms:W3CDTF">2026-07-08T04:35:24Z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