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Which Spirometric Flag Better Identifies Frailty and Disability in Older Indians? A Head-to-Head Comparison of GLI-Labelled PRISm and a Correctly-Referenced Low FVC in the Longitudinal Ageing Study in India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PRISm versus correctly-referenced low FVC as an ageing flag</w:t>
      </w:r>
    </w:p>
    <w:p>
      <w:pPr>
        <w:pStyle w:val="BodyText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Original Article</w:t>
      </w:r>
    </w:p>
    <w:bookmarkStart w:id="9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rPr>
          <w:b/>
          <w:bCs/>
        </w:rPr>
        <w:t xml:space="preserve">Dr Siddalingaiah H S</w:t>
      </w:r>
      <w:r>
        <w:t xml:space="preserve">, MD</w:t>
      </w:r>
      <w:r>
        <w:t xml:space="preserve"> </w:t>
      </w:r>
      <w:r>
        <w:t xml:space="preserve">Professor, Department of Community Medicine,</w:t>
      </w:r>
      <w:r>
        <w:t xml:space="preserve"> </w:t>
      </w:r>
      <w:r>
        <w:t xml:space="preserve">Shridevi Institute of Medical Sciences and Research Hospital, Tumkur, Karnataka, India.</w:t>
      </w:r>
      <w:r>
        <w:t xml:space="preserve"> </w:t>
      </w:r>
      <w:r>
        <w:t xml:space="preserve">ORCID: 0000-0002-4771-8285</w:t>
      </w:r>
      <w:r>
        <w:t xml:space="preserve"> </w:t>
      </w:r>
      <w:r>
        <w:t xml:space="preserve">Email: hssling@yahoo.com | Phone: +91 8941087719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Dr Siddalingaiah H S (as above).</w:t>
      </w:r>
    </w:p>
    <w:bookmarkEnd w:id="9"/>
    <w:bookmarkStart w:id="10" w:name="manuscript-metrics"/>
    <w:p>
      <w:pPr>
        <w:pStyle w:val="Heading2"/>
      </w:pPr>
      <w:r>
        <w:t xml:space="preserve">Manuscript metrics</w:t>
      </w:r>
    </w:p>
    <w:p>
      <w:pPr>
        <w:pStyle w:val="Compact"/>
        <w:numPr>
          <w:ilvl w:val="0"/>
          <w:numId w:val="1001"/>
        </w:numPr>
      </w:pPr>
      <w:r>
        <w:t xml:space="preserve">Abstract: ~250 words (structured)</w:t>
      </w:r>
    </w:p>
    <w:p>
      <w:pPr>
        <w:pStyle w:val="Compact"/>
        <w:numPr>
          <w:ilvl w:val="0"/>
          <w:numId w:val="1001"/>
        </w:numPr>
      </w:pPr>
      <w:r>
        <w:t xml:space="preserve">Main text: ~1,800 words (Introduction–Conclusions)</w:t>
      </w:r>
    </w:p>
    <w:p>
      <w:pPr>
        <w:pStyle w:val="Compact"/>
        <w:numPr>
          <w:ilvl w:val="0"/>
          <w:numId w:val="1001"/>
        </w:numPr>
      </w:pPr>
      <w:r>
        <w:t xml:space="preserve">References: 6</w:t>
      </w:r>
    </w:p>
    <w:p>
      <w:pPr>
        <w:pStyle w:val="Compact"/>
        <w:numPr>
          <w:ilvl w:val="0"/>
          <w:numId w:val="1001"/>
        </w:numPr>
      </w:pPr>
      <w:r>
        <w:t xml:space="preserve">Tables: 2</w:t>
      </w:r>
    </w:p>
    <w:p>
      <w:pPr>
        <w:pStyle w:val="Compact"/>
        <w:numPr>
          <w:ilvl w:val="0"/>
          <w:numId w:val="1001"/>
        </w:numPr>
      </w:pPr>
      <w:r>
        <w:t xml:space="preserve">Figures: 1</w:t>
      </w:r>
    </w:p>
    <w:bookmarkEnd w:id="10"/>
    <w:bookmarkStart w:id="11" w:name="declarations"/>
    <w:p>
      <w:pPr>
        <w:pStyle w:val="Heading2"/>
      </w:pPr>
      <w:r>
        <w:t xml:space="preserve">Declarations</w:t>
      </w:r>
    </w:p>
    <w:p>
      <w:pPr>
        <w:pStyle w:val="FirstParagraph"/>
      </w:pPr>
      <w:r>
        <w:rPr>
          <w:b/>
          <w:bCs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/>
          <w:bCs/>
        </w:rPr>
        <w:t xml:space="preserve">Conflicts of interest:</w:t>
      </w:r>
      <w:r>
        <w:t xml:space="preserve"> </w:t>
      </w:r>
      <w:r>
        <w:t xml:space="preserve">None declared.</w:t>
      </w:r>
    </w:p>
    <w:p>
      <w:pPr>
        <w:pStyle w:val="BodyText"/>
      </w:pPr>
      <w:r>
        <w:rPr>
          <w:b/>
          <w:bCs/>
        </w:rPr>
        <w:t xml:space="preserve">Acknowledgements:</w:t>
      </w:r>
      <w:r>
        <w:t xml:space="preserve"> </w:t>
      </w:r>
      <w:r>
        <w:t xml:space="preserve">This study used public-use LASI Wave 1 data (IIPS, Harvard T.H. Chan School of Public Health, University of Southern California; Ministry of Health and Family Welfare, Government of India). The national-reference low-FVC used a reference derived in a companion analysis from the same programme.</w:t>
      </w:r>
    </w:p>
    <w:p>
      <w:pPr>
        <w:pStyle w:val="BodyText"/>
      </w:pPr>
      <w:r>
        <w:rPr>
          <w:b/>
          <w:bCs/>
        </w:rPr>
        <w:t xml:space="preserve">Data availability:</w:t>
      </w:r>
      <w:r>
        <w:t xml:space="preserve"> </w:t>
      </w:r>
      <w:r>
        <w:t xml:space="preserve">LASI data via g2aging.org and IIPS; analysis code available from the author on request.</w:t>
      </w:r>
    </w:p>
    <w:p>
      <w:pPr>
        <w:pStyle w:val="BodyText"/>
      </w:pPr>
      <w:r>
        <w:rPr>
          <w:b/>
          <w:bCs/>
        </w:rPr>
        <w:t xml:space="preserve">Author contributions (single author):</w:t>
      </w:r>
      <w:r>
        <w:t xml:space="preserve"> </w:t>
      </w:r>
      <w:r>
        <w:t xml:space="preserve">Dr Siddalingaiah H S conceived, analysed, drafted, and approved the work.</w:t>
      </w:r>
    </w:p>
    <w:p>
      <w:pPr>
        <w:pStyle w:val="BodyText"/>
      </w:pPr>
      <w:r>
        <w:rPr>
          <w:b/>
          <w:bCs/>
        </w:rPr>
        <w:t xml:space="preserve">Ethics:</w:t>
      </w:r>
      <w:r>
        <w:t xml:space="preserve"> </w:t>
      </w:r>
      <w:r>
        <w:t xml:space="preserve">Secondary analysis of de-identified public data; ICMR approval and informed consent obtained by LASI; no additional approval required.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2026-07-08T04:35:23Z</dcterms:created>
  <dcterms:modified xsi:type="dcterms:W3CDTF">2026-07-08T04:35:23Z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