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9eb551bf9665390a02b9ae8c2c9d3a5ceac59f"/>
    <w:p>
      <w:pPr>
        <w:pStyle w:val="Heading1"/>
      </w:pPr>
      <w:r>
        <w:t xml:space="preserve">STROBE Statement — Checklist for Cross-Sectional Studies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rPr>
          <w:i/>
          <w:iCs/>
        </w:rPr>
        <w:t xml:space="preserve">Nationally Representative Spirometry Reference Equations for Middle-Aged and Older Indians (LASI Wave 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Reported (section)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and abstract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Design in title/abstract; balanced summary</w:t>
            </w:r>
          </w:p>
        </w:tc>
        <w:tc>
          <w:tcPr/>
          <w:p>
            <w:pPr>
              <w:pStyle w:val="Compact"/>
            </w:pPr>
            <w:r>
              <w:t xml:space="preserve">Title states design and dataset; structured 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Background/rationale 2</w:t>
            </w:r>
          </w:p>
        </w:tc>
        <w:tc>
          <w:tcPr/>
          <w:p>
            <w:pPr>
              <w:pStyle w:val="Compact"/>
            </w:pPr>
            <w:r>
              <w:t xml:space="preserve">Background and rationale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Objectives 3</w:t>
            </w:r>
          </w:p>
        </w:tc>
        <w:tc>
          <w:tcPr/>
          <w:p>
            <w:pPr>
              <w:pStyle w:val="Compact"/>
            </w:pPr>
            <w:r>
              <w:t xml:space="preserve">Specific objectives</w:t>
            </w:r>
          </w:p>
        </w:tc>
        <w:tc>
          <w:tcPr/>
          <w:p>
            <w:pPr>
              <w:pStyle w:val="Compact"/>
            </w:pPr>
            <w:r>
              <w:t xml:space="preserve">Introduction (two aims)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design 4</w:t>
            </w:r>
          </w:p>
        </w:tc>
        <w:tc>
          <w:tcPr/>
          <w:p>
            <w:pPr>
              <w:pStyle w:val="Compact"/>
            </w:pPr>
            <w:r>
              <w:t xml:space="preserve">Key design elements</w:t>
            </w:r>
          </w:p>
        </w:tc>
        <w:tc>
          <w:tcPr/>
          <w:p>
            <w:pPr>
              <w:pStyle w:val="Compact"/>
            </w:pPr>
            <w:r>
              <w:t xml:space="preserve">Materials and Methods — Data source and sampling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5</w:t>
            </w:r>
          </w:p>
        </w:tc>
        <w:tc>
          <w:tcPr/>
          <w:p>
            <w:pPr>
              <w:pStyle w:val="Compact"/>
            </w:pPr>
            <w:r>
              <w:t xml:space="preserve">Setting, locations, dates</w:t>
            </w:r>
          </w:p>
        </w:tc>
        <w:tc>
          <w:tcPr/>
          <w:p>
            <w:pPr>
              <w:pStyle w:val="Compact"/>
            </w:pPr>
            <w:r>
              <w:t xml:space="preserve">Materials and Methods — LASI Wave 1, 2017–2019, 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6</w:t>
            </w:r>
          </w:p>
        </w:tc>
        <w:tc>
          <w:tcPr/>
          <w:p>
            <w:pPr>
              <w:pStyle w:val="Compact"/>
            </w:pPr>
            <w:r>
              <w:t xml:space="preserve">Eligibility, sources, selection</w:t>
            </w:r>
          </w:p>
        </w:tc>
        <w:tc>
          <w:tcPr/>
          <w:p>
            <w:pPr>
              <w:pStyle w:val="Compact"/>
            </w:pPr>
            <w:r>
              <w:t xml:space="preserve">Materials and Methods — Reference (healthy) population; Comparison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7</w:t>
            </w:r>
          </w:p>
        </w:tc>
        <w:tc>
          <w:tcPr/>
          <w:p>
            <w:pPr>
              <w:pStyle w:val="Compact"/>
            </w:pPr>
            <w:r>
              <w:t xml:space="preserve">Outcomes, predictors</w:t>
            </w:r>
          </w:p>
        </w:tc>
        <w:tc>
          <w:tcPr/>
          <w:p>
            <w:pPr>
              <w:pStyle w:val="Compact"/>
            </w:pPr>
            <w:r>
              <w:t xml:space="preserve">Materials and Methods — Derivation (FEV1, FVC, ratio; age, height, sex)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sources/measurement 8</w:t>
            </w:r>
          </w:p>
        </w:tc>
        <w:tc>
          <w:tcPr/>
          <w:p>
            <w:pPr>
              <w:pStyle w:val="Compact"/>
            </w:pPr>
            <w:r>
              <w:t xml:space="preserve">Sources and assessment</w:t>
            </w:r>
          </w:p>
        </w:tc>
        <w:tc>
          <w:tcPr/>
          <w:p>
            <w:pPr>
              <w:pStyle w:val="Compact"/>
            </w:pPr>
            <w:r>
              <w:t xml:space="preserve">Materials and Methods — field spirometry, measured height,</w:t>
            </w:r>
            <w:r>
              <w:t xml:space="preserve"> </w:t>
            </w:r>
            <w:r>
              <w:rPr>
                <w:rStyle w:val="VerbatimChar"/>
              </w:rPr>
              <w:t xml:space="preserve">pyspiro</w:t>
            </w:r>
            <w:r>
              <w:t xml:space="preserve"> </w:t>
            </w:r>
            <w:r>
              <w:t xml:space="preserve">cross-validation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9</w:t>
            </w:r>
          </w:p>
        </w:tc>
        <w:tc>
          <w:tcPr/>
          <w:p>
            <w:pPr>
              <w:pStyle w:val="Compact"/>
            </w:pPr>
            <w:r>
              <w:t xml:space="preserve">Efforts to address bias</w:t>
            </w:r>
          </w:p>
        </w:tc>
        <w:tc>
          <w:tcPr/>
          <w:p>
            <w:pPr>
              <w:pStyle w:val="Compact"/>
            </w:pPr>
            <w:r>
              <w:t xml:space="preserve">Materials and Methods — respiratory-healthy definition; internal validation; multi-reference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size 10</w:t>
            </w:r>
          </w:p>
        </w:tc>
        <w:tc>
          <w:tcPr/>
          <w:p>
            <w:pPr>
              <w:pStyle w:val="Compact"/>
            </w:pPr>
            <w:r>
              <w:t xml:space="preserve">How arrived at</w:t>
            </w:r>
          </w:p>
        </w:tc>
        <w:tc>
          <w:tcPr/>
          <w:p>
            <w:pPr>
              <w:pStyle w:val="Compact"/>
            </w:pPr>
            <w:r>
              <w:t xml:space="preserve">Materials and Methods/Results — n=24,300 healthy; n=30,995 analytic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 variables 11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Materials and Methods — GAMLSS/LMS (BCCG: L, M, S penalized splines in age; ln-height for volumes); fixed and LLN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methods 12</w:t>
            </w:r>
          </w:p>
        </w:tc>
        <w:tc>
          <w:tcPr/>
          <w:p>
            <w:pPr>
              <w:pStyle w:val="Compact"/>
            </w:pPr>
            <w:r>
              <w:t xml:space="preserve">Methods; validation; sensitivity</w:t>
            </w:r>
          </w:p>
        </w:tc>
        <w:tc>
          <w:tcPr/>
          <w:p>
            <w:pPr>
              <w:pStyle w:val="Compact"/>
            </w:pPr>
            <w:r>
              <w:t xml:space="preserve">Materials and Methods — Derivation, Validation (held-out 20%), Comparison and burden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13</w:t>
            </w:r>
          </w:p>
        </w:tc>
        <w:tc>
          <w:tcPr/>
          <w:p>
            <w:pPr>
              <w:pStyle w:val="Compact"/>
            </w:pPr>
            <w:r>
              <w:t xml:space="preserve">Numbers at each stage</w:t>
            </w:r>
          </w:p>
        </w:tc>
        <w:tc>
          <w:tcPr/>
          <w:p>
            <w:pPr>
              <w:pStyle w:val="Compact"/>
            </w:pPr>
            <w:r>
              <w:t xml:space="preserve">Results — Reference population; Materials and Methods — analytic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 data 14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Table 1; Supplementary Table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data 15</w:t>
            </w:r>
          </w:p>
        </w:tc>
        <w:tc>
          <w:tcPr/>
          <w:p>
            <w:pPr>
              <w:pStyle w:val="Compact"/>
            </w:pPr>
            <w:r>
              <w:t xml:space="preserve">Summary of outcomes</w:t>
            </w:r>
          </w:p>
        </w:tc>
        <w:tc>
          <w:tcPr/>
          <w:p>
            <w:pPr>
              <w:pStyle w:val="Compact"/>
            </w:pPr>
            <w:r>
              <w:t xml:space="preserve">Results — equations, validation, burden; Tables 1–2; Supplementary Tables S2–S4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results 16</w:t>
            </w:r>
          </w:p>
        </w:tc>
        <w:tc>
          <w:tcPr/>
          <w:p>
            <w:pPr>
              <w:pStyle w:val="Compact"/>
            </w:pPr>
            <w:r>
              <w:t xml:space="preserve">Estimates + CIs</w:t>
            </w:r>
          </w:p>
        </w:tc>
        <w:tc>
          <w:tcPr/>
          <w:p>
            <w:pPr>
              <w:pStyle w:val="Compact"/>
            </w:pPr>
            <w:r>
              <w:t xml:space="preserve">Table 2; Figures 1–3; Supplementary Table 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analyses 17</w:t>
            </w:r>
          </w:p>
        </w:tc>
        <w:tc>
          <w:tcPr/>
          <w:p>
            <w:pPr>
              <w:pStyle w:val="Compact"/>
            </w:pPr>
            <w:r>
              <w:t xml:space="preserve">Subgroups, sensitivity</w:t>
            </w:r>
          </w:p>
        </w:tc>
        <w:tc>
          <w:tcPr/>
          <w:p>
            <w:pPr>
              <w:pStyle w:val="Compact"/>
            </w:pPr>
            <w:r>
              <w:t xml:space="preserve">Validation by age band (Figure 2, Supplementary S2); five-reference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results 18</w:t>
            </w:r>
          </w:p>
        </w:tc>
        <w:tc>
          <w:tcPr/>
          <w:p>
            <w:pPr>
              <w:pStyle w:val="Compact"/>
            </w:pPr>
            <w:r>
              <w:t xml:space="preserve">Summary vs objectives</w:t>
            </w:r>
          </w:p>
        </w:tc>
        <w:tc>
          <w:tcPr/>
          <w:p>
            <w:pPr>
              <w:pStyle w:val="Compact"/>
            </w:pPr>
            <w:r>
              <w:t xml:space="preserve">Discussion (opening)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Limitations 19</w:t>
            </w:r>
          </w:p>
        </w:tc>
        <w:tc>
          <w:tcPr/>
          <w:p>
            <w:pPr>
              <w:pStyle w:val="Compact"/>
            </w:pPr>
            <w:r>
              <w:t xml:space="preserve">Limitations, bias direction</w:t>
            </w:r>
          </w:p>
        </w:tc>
        <w:tc>
          <w:tcPr/>
          <w:p>
            <w:pPr>
              <w:pStyle w:val="Compact"/>
            </w:pPr>
            <w:r>
              <w:t xml:space="preserve">Discussion — Strengths and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Interpretation 20</w:t>
            </w:r>
          </w:p>
        </w:tc>
        <w:tc>
          <w:tcPr/>
          <w:p>
            <w:pPr>
              <w:pStyle w:val="Compact"/>
            </w:pPr>
            <w:r>
              <w:t xml:space="preserve">Cautious interpretation</w:t>
            </w:r>
          </w:p>
        </w:tc>
        <w:tc>
          <w:tcPr/>
          <w:p>
            <w:pPr>
              <w:pStyle w:val="Compact"/>
            </w:pPr>
            <w:r>
              <w:t xml:space="preserve">Discussion; Conclusion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Generalisability 21</w:t>
            </w:r>
          </w:p>
        </w:tc>
        <w:tc>
          <w:tcPr/>
          <w:p>
            <w:pPr>
              <w:pStyle w:val="Compac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</w:pPr>
            <w:r>
              <w:t xml:space="preserve">Discussion — national representativeness; ages ≥45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 22</w:t>
            </w:r>
          </w:p>
        </w:tc>
        <w:tc>
          <w:tcPr/>
          <w:p>
            <w:pPr>
              <w:pStyle w:val="Compact"/>
            </w:pPr>
            <w:r>
              <w:t xml:space="preserve">Funding role</w:t>
            </w:r>
          </w:p>
        </w:tc>
        <w:tc>
          <w:tcPr/>
          <w:p>
            <w:pPr>
              <w:pStyle w:val="Compact"/>
            </w:pPr>
            <w:r>
              <w:t xml:space="preserve">Title page — none</w:t>
            </w:r>
          </w:p>
        </w:tc>
      </w:tr>
    </w:tbl>
    <w:p>
      <w:pPr>
        <w:pStyle w:val="BodyText"/>
      </w:pPr>
      <w:r>
        <w:t xml:space="preserve">The STROBE checklist guided reporting.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2026-07-11T19:15:34Z</dcterms:created>
  <dcterms:modified xsi:type="dcterms:W3CDTF">2026-07-11T19:15:34Z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