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Can Ageing Be Slowed or Reversed? A Reproducible Evidence Map and Credibility Ranking of Anti-Ageing and Age-Reversal Interventions</w:t>
      </w:r>
    </w:p>
    <w:p>
      <w:pPr>
        <w:pStyle w:val="BodyText"/>
      </w:pPr>
      <w:r>
        <w:t xml:space="preserve">Article type: Systematic review / evidence map</w:t>
      </w:r>
    </w:p>
    <w:p>
      <w:pPr>
        <w:pStyle w:val="BodyText"/>
      </w:pPr>
      <w:r>
        <w:t xml:space="preserve">Running title: Anti-ageing evidence map</w:t>
      </w:r>
    </w:p>
    <w:bookmarkStart w:id="9" w:name="abstract"/>
    <w:p>
      <w:pPr>
        <w:pStyle w:val="Heading1"/>
      </w:pPr>
      <w:r>
        <w:t xml:space="preserve">Abstract</w:t>
      </w:r>
    </w:p>
    <w:p>
      <w:pPr>
        <w:pStyle w:val="FirstParagraph"/>
      </w:pPr>
      <w:r>
        <w:rPr>
          <w:b/>
          <w:bCs/>
        </w:rPr>
        <w:t xml:space="preserve">Background:</w:t>
      </w:r>
      <w:r>
        <w:t xml:space="preserve"> </w:t>
      </w:r>
      <w:r>
        <w:t xml:space="preserve">Public and clinical discussion of anti-ageing interventions frequently conflates four distinct claims — improvement in healthspan, extension of lifespan, slowing of biological-age markers, and true clinical rejuvenation — creating a risk of therapeutic overclaiming.</w:t>
      </w:r>
    </w:p>
    <w:p>
      <w:pPr>
        <w:pStyle w:val="BodyText"/>
      </w:pPr>
      <w:r>
        <w:rPr>
          <w:b/>
          <w:bCs/>
        </w:rPr>
        <w:t xml:space="preserve">Objective:</w:t>
      </w:r>
      <w:r>
        <w:t xml:space="preserve"> </w:t>
      </w:r>
      <w:r>
        <w:t xml:space="preserve">To build a reproducible, conservative evidence map that separates these claims and ranks the credibility of human evidence across the major anti-ageing and age-reversal intervention classes.</w:t>
      </w:r>
    </w:p>
    <w:p>
      <w:pPr>
        <w:pStyle w:val="BodyText"/>
      </w:pPr>
      <w:r>
        <w:rPr>
          <w:b/>
          <w:bCs/>
        </w:rPr>
        <w:t xml:space="preserve">Methods:</w:t>
      </w:r>
      <w:r>
        <w:t xml:space="preserve"> </w:t>
      </w:r>
      <w:r>
        <w:t xml:space="preserve">A structured pipeline searched PubMed, Europe PMC, and Crossref, retrieving 1155 records that deduplicated to 1029. Records underwent title/abstract screening, intervention and outcome classification, credibility scoring, prioritised human-evidence verification, structured risk-of-bias appraisal, duplicate-cohort checking, and extraction of quantitative effect information where available in accessible text. Quantitative meta-analysis was not undertaken because extracted effect estimates were heterogeneous in outcome definition and reporting; evidence was therefore synthesised narratively and by transparent credibility scoring.</w:t>
      </w:r>
    </w:p>
    <w:p>
      <w:pPr>
        <w:pStyle w:val="BodyText"/>
      </w:pPr>
      <w:r>
        <w:rPr>
          <w:b/>
          <w:bCs/>
        </w:rPr>
        <w:t xml:space="preserve">Results:</w:t>
      </w:r>
      <w:r>
        <w:t xml:space="preserve"> </w:t>
      </w:r>
      <w:r>
        <w:t xml:space="preserve">Screening classified 29 records as include, 455 as uncertain, and 545 as exclude; 484 records entered full-text eligibility assessment. Forty priority human records were verified (19 by open full text, 16 by abstract, 5 not retrievable), and 28 contributed extracted effect information. Across 14 intervention classes, exercise achieved the highest credibility score (31.48) and was the only class categorised as the strongest current human healthspan signal, followed by microbiome (21.50), rapamycin/mTOR (21.24), senolytics (19.94), and caloric restriction (19.52). Reprogramming and stem-cell approaches scored lowest (5.91 and 1.68).</w:t>
      </w:r>
    </w:p>
    <w:p>
      <w:pPr>
        <w:pStyle w:val="BodyText"/>
      </w:pPr>
      <w:r>
        <w:rPr>
          <w:b/>
          <w:bCs/>
        </w:rPr>
        <w:t xml:space="preserve">Conclusion:</w:t>
      </w:r>
      <w:r>
        <w:t xml:space="preserve"> </w:t>
      </w:r>
      <w:r>
        <w:t xml:space="preserve">Exercise shows the strongest and most consistent human healthspan signal, whereas pharmacologic, senolytic, NAD+/sirtuin, microbiome, fasting, caloric-restriction, and regenerative interventions remain biologically promising but clinically unproven for age reversal. No intervention in this evidence set demonstrates reversal of human ageing, and biomarker improvements should not be equated with rejuvenation. The framework offers a reproducible basis for distinguishing healthspan evidence from age-reversal claims and for prioritising interventions for future confirmatory synthesis.</w:t>
      </w:r>
    </w:p>
    <w:p>
      <w:pPr>
        <w:pStyle w:val="BodyText"/>
      </w:pPr>
      <w:r>
        <w:rPr>
          <w:b/>
          <w:bCs/>
        </w:rPr>
        <w:t xml:space="preserve">Keywords:</w:t>
      </w:r>
      <w:r>
        <w:t xml:space="preserve"> </w:t>
      </w:r>
      <w:r>
        <w:t xml:space="preserve">ageing; healthspan; rejuvenation; biological age; senolytics; rapamycin; systematic review; evidence map</w:t>
      </w:r>
    </w:p>
    <w:bookmarkEnd w:id="9"/>
    <w:bookmarkStart w:id="10" w:name="introduction"/>
    <w:p>
      <w:pPr>
        <w:pStyle w:val="Heading1"/>
      </w:pPr>
      <w:r>
        <w:t xml:space="preserve">Introduction</w:t>
      </w:r>
    </w:p>
    <w:p>
      <w:pPr>
        <w:pStyle w:val="FirstParagraph"/>
      </w:pPr>
      <w:r>
        <w:t xml:space="preserve">Anti-ageing interventions are often discussed as though improved healthy ageing, delayed biological ageing, biomarker reversal, and rejuvenation were interchangeable. This conflation creates a risk of clinical overclaiming. A rigorous appraisal must separate human functional outcomes from animal lifespan results, cellular mechanisms, and surrogate biomarker shifts.</w:t>
      </w:r>
      <w:r>
        <w:rPr>
          <w:vertAlign w:val="superscript"/>
        </w:rPr>
        <w:t xml:space="preserve">[1,2]</w:t>
      </w:r>
    </w:p>
    <w:p>
      <w:pPr>
        <w:pStyle w:val="BodyText"/>
      </w:pPr>
      <w:r>
        <w:t xml:space="preserve">The human evidence examined here spans multidomain lifestyle programmes, resistance and multimodal exercise, microbiome modulation, exergame-based frailty prevention, prospective physical-activity cohorts, fasting-mimicking diets, caloric restriction and time-restricted eating, multidomain interventions reporting epigenetic-age outcomes, creatine co-supplementation, topical and systemic rapamycin, and a phase II senolytic trial.</w:t>
      </w:r>
      <w:r>
        <w:rPr>
          <w:vertAlign w:val="superscript"/>
        </w:rPr>
        <w:t xml:space="preserve">[3-14]</w:t>
      </w:r>
    </w:p>
    <w:p>
      <w:pPr>
        <w:pStyle w:val="BodyText"/>
      </w:pPr>
      <w:r>
        <w:t xml:space="preserve">This manuscript presents a reproducible evidence map and credibility ranking of anti-ageing and age-reversal intervention domains. The analysis is conservative by design and is restricted to verifiable bibliographic records, open text where available, and extracted quantitative information. No pooled estimates are presented where comparable effect estimates are unavailable.</w:t>
      </w:r>
    </w:p>
    <w:p>
      <w:pPr>
        <w:pStyle w:val="BodyText"/>
      </w:pPr>
      <w:r>
        <w:t xml:space="preserve">The review question was not whether ageing has been definitively reversed in humans. It was whether any intervention class has credible evidence for healthspan improvement, lifespan extension, slowing of biological-age markers, biomarker reversal, or plausible rejuvenation. These categories are treated throughout as distinct evidentiary claims.</w:t>
      </w:r>
    </w:p>
    <w:bookmarkEnd w:id="10"/>
    <w:bookmarkStart w:id="11" w:name="methods"/>
    <w:p>
      <w:pPr>
        <w:pStyle w:val="Heading1"/>
      </w:pPr>
      <w:r>
        <w:t xml:space="preserve">Methods</w:t>
      </w:r>
    </w:p>
    <w:p>
      <w:pPr>
        <w:pStyle w:val="FirstParagraph"/>
      </w:pPr>
      <w:r>
        <w:t xml:space="preserve">A PRISMA-informed pipeline searched PubMed, Europe PMC, and Crossref; deduplicated records by DOI, PMID, and normalised title; screened title/abstract metadata; classified intervention and outcome domains; assessed model system; and generated evidence-credibility rankings. The study selection flow is shown in Figure 1.</w:t>
      </w:r>
    </w:p>
    <w:p>
      <w:pPr>
        <w:pStyle w:val="BodyText"/>
      </w:pPr>
      <w:r>
        <w:t xml:space="preserve">Human evidence was prioritised for verification. Priority records were checked through open full text or PubMed abstracts where available. Risk-of-bias domains were assessed in a structured format following the signalling logic of RoB 2 and ROBINS-I. Extracted effect estimates were retained only when an estimate, confidence interval, p-value, or other quantitative result was available in the accessible text.</w:t>
      </w:r>
    </w:p>
    <w:p>
      <w:pPr>
        <w:pStyle w:val="BodyText"/>
      </w:pPr>
      <w:r>
        <w:t xml:space="preserve">Quantitative meta-analysis was not performed because the extracted effect estimates were heterogeneous in outcome definition, metric, comparator, dose, and duration, and pooling such estimates would imply a comparability the underlying data do not support. Evidence was therefore synthesised narratively and through a transparent, reproducible credibility-scoring scheme.</w:t>
      </w:r>
    </w:p>
    <w:p>
      <w:pPr>
        <w:pStyle w:val="BodyText"/>
      </w:pPr>
      <w:r>
        <w:t xml:space="preserve">Intervention credibility combined the number of extracted records, human evidence, human-trial evidence, direct ageing or healthspan outcomes, biomarker evidence, surrogate burden, and a promotional-language penalty. The score ranks evidence credibility; it does not generate treatment recommendations. Additional records identified in the search but not individually discussed in the main text are listed in Supplementary Table S1 and cited collectively.</w:t>
      </w:r>
      <w:r>
        <w:rPr>
          <w:vertAlign w:val="superscript"/>
        </w:rPr>
        <w:t xml:space="preserve">[15-40]</w:t>
      </w:r>
    </w:p>
    <w:p>
      <w:pPr>
        <w:pStyle w:val="BodyText"/>
      </w:pPr>
      <w:r>
        <w:t xml:space="preserve">The review was not prospectively registered; this is acknowledged as a limitation, and prospective registration is recommended for future confirmatory work.</w:t>
      </w:r>
    </w:p>
    <w:bookmarkEnd w:id="11"/>
    <w:bookmarkStart w:id="12" w:name="results"/>
    <w:p>
      <w:pPr>
        <w:pStyle w:val="Heading1"/>
      </w:pPr>
      <w:r>
        <w:t xml:space="preserve">Results</w:t>
      </w:r>
    </w:p>
    <w:p>
      <w:pPr>
        <w:pStyle w:val="FirstParagraph"/>
      </w:pPr>
      <w:r>
        <w:t xml:space="preserve">The search retrieved 1155 raw records and produced 1029 deduplicated records. Title/abstract screening classified 29 records as include, 455 as uncertain, and 545 as exclude. Four hundred and eighty-four records entered full-text eligibility assessment. Priority human verification was completed for 40 records: 19 had open full text available, 16 had PubMed abstract-level verification, and 5 could not be retrieved through the open-source workflow. Quantitative effect information was identified for 28 priority records.</w:t>
      </w:r>
    </w:p>
    <w:p>
      <w:pPr>
        <w:pStyle w:val="BodyText"/>
      </w:pPr>
      <w:r>
        <w:t xml:space="preserve">The credibility ranking is shown in Table 1 and Figure 2. Exercise ranked first and was the only intervention domain categorised as the strongest current human healthspan signal (credibility score 31.48; 37 human records; promotional-language rate 0.01). Microbiome (21.50), rapamycin/mTOR (21.24), senolytics (19.94), caloric restriction (19.52), lifestyle bundles (17.00), NAD+/sirtuin interventions (16.64), and fasting (15.10) showed human signals requiring confirmation. Dietary supplements, metformin, sleep/circadian interventions, plasma/telomerase-based (</w:t>
      </w:r>
      <w:r>
        <w:t xml:space="preserve">“controversial”</w:t>
      </w:r>
      <w:r>
        <w:t xml:space="preserve">) rejuvenation, reprogramming, and stem-cell approaches had lower scores or higher promotional-language burden.</w:t>
      </w:r>
    </w:p>
    <w:p>
      <w:pPr>
        <w:pStyle w:val="BodyText"/>
      </w:pPr>
      <w:r>
        <w:t xml:space="preserve">Representative priority human evidence with extracted effect estimates is summarised in Table 2. The records include frailty- and function-oriented exercise and multidomain lifestyle interventions, microbiome modulation with cognitive outcomes, fasting-mimicking diet with biological-age markers, topical and systemic rapamycin records, caloric restriction, a multidomain epigenetic-age intervention, and a senolytic trial-design record.</w:t>
      </w:r>
      <w:r>
        <w:rPr>
          <w:vertAlign w:val="superscript"/>
        </w:rPr>
        <w:t xml:space="preserve">[3-14]</w:t>
      </w:r>
    </w:p>
    <w:p>
      <w:pPr>
        <w:pStyle w:val="BodyText"/>
      </w:pPr>
      <w:r>
        <w:t xml:space="preserve">The clearest human functional signal came from physical-activity interventions. In a multimodal exercise trial in frail people with multiple sclerosis, the frailty index improved by −0.07 (95% CI −0.14 to −0.00) and mental-health quality of life improved by +21.24 points (95% CI 7.32 to 35.16).</w:t>
      </w:r>
      <w:r>
        <w:rPr>
          <w:vertAlign w:val="superscript"/>
        </w:rPr>
        <w:t xml:space="preserve">[2]</w:t>
      </w:r>
      <w:r>
        <w:t xml:space="preserve"> </w:t>
      </w:r>
      <w:r>
        <w:t xml:space="preserve">An exergame-based exercise trial reported significant group-by-time improvements in handgrip strength and frailty outcomes.</w:t>
      </w:r>
      <w:r>
        <w:rPr>
          <w:vertAlign w:val="superscript"/>
        </w:rPr>
        <w:t xml:space="preserve">[4]</w:t>
      </w:r>
      <w:r>
        <w:t xml:space="preserve"> </w:t>
      </w:r>
      <w:r>
        <w:t xml:space="preserve">A prospective five-cohort analysis showed that physical activity modified the frailty–mortality association, with hazard ratios reported in the source study.</w:t>
      </w:r>
      <w:r>
        <w:rPr>
          <w:vertAlign w:val="superscript"/>
        </w:rPr>
        <w:t xml:space="preserve">[6]</w:t>
      </w:r>
      <w:r>
        <w:t xml:space="preserve"> </w:t>
      </w:r>
      <w:r>
        <w:t xml:space="preserve">These results support physical activity as healthspan-relevant evidence, not as proof of biological-age reversal.</w:t>
      </w:r>
    </w:p>
    <w:p>
      <w:pPr>
        <w:pStyle w:val="BodyText"/>
      </w:pPr>
      <w:r>
        <w:t xml:space="preserve">Dietary and microbiome interventions showed more mixed results. The PROMOTe randomised trial found no significant effect on the primary outcome of chair-rise time (β=0.579; 95% CI −1.08 to 2.24; p=0.494) but a favourable cognitive estimate (β=−0.482; 95% CI −0.813 to −0.141; p=0.014).</w:t>
      </w:r>
      <w:r>
        <w:rPr>
          <w:vertAlign w:val="superscript"/>
        </w:rPr>
        <w:t xml:space="preserve">[3]</w:t>
      </w:r>
      <w:r>
        <w:t xml:space="preserve"> </w:t>
      </w:r>
      <w:r>
        <w:t xml:space="preserve">A fasting-mimicking diet was associated with a median biological-age reduction of 2.5 years after three cycles; this is a biomarker result and should be interpreted separately from clinical rejuvenation.</w:t>
      </w:r>
      <w:r>
        <w:rPr>
          <w:vertAlign w:val="superscript"/>
        </w:rPr>
        <w:t xml:space="preserve">[7]</w:t>
      </w:r>
      <w:r>
        <w:t xml:space="preserve"> </w:t>
      </w:r>
      <w:r>
        <w:t xml:space="preserve">A caloric-restriction and time-restricted-eating feasibility study contributed adherence and feasibility data.</w:t>
      </w:r>
      <w:r>
        <w:rPr>
          <w:vertAlign w:val="superscript"/>
        </w:rPr>
        <w:t xml:space="preserve">[12]</w:t>
      </w:r>
      <w:r>
        <w:t xml:space="preserve"> </w:t>
      </w:r>
      <w:r>
        <w:t xml:space="preserve">A multidomain lifestyle intervention reported significant improvements in functional trajectories and epigenetic-ageing markers.</w:t>
      </w:r>
      <w:r>
        <w:rPr>
          <w:vertAlign w:val="superscript"/>
        </w:rPr>
        <w:t xml:space="preserve">[13]</w:t>
      </w:r>
    </w:p>
    <w:p>
      <w:pPr>
        <w:pStyle w:val="BodyText"/>
      </w:pPr>
      <w:r>
        <w:t xml:space="preserve">Rapamycin/mTOR evidence was heterogeneous. Topical rapamycin reduced p16INK4A protein levels (p=0.008) and increased collagen VII in human skin.</w:t>
      </w:r>
      <w:r>
        <w:rPr>
          <w:vertAlign w:val="superscript"/>
        </w:rPr>
        <w:t xml:space="preserve">[8]</w:t>
      </w:r>
      <w:r>
        <w:t xml:space="preserve"> </w:t>
      </w:r>
      <w:r>
        <w:t xml:space="preserve">The PEARL trial reported improvements in lean tissue mass, pain, and general health, with visceral adiposity unchanged (ηp²=0.001; p=0.942).</w:t>
      </w:r>
      <w:r>
        <w:rPr>
          <w:vertAlign w:val="superscript"/>
        </w:rPr>
        <w:t xml:space="preserve">[9]</w:t>
      </w:r>
      <w:r>
        <w:t xml:space="preserve"> </w:t>
      </w:r>
      <w:r>
        <w:t xml:space="preserve">Senolytic evidence in the priority table was represented by a trial-design record without outcome effect data.</w:t>
      </w:r>
      <w:r>
        <w:rPr>
          <w:vertAlign w:val="superscript"/>
        </w:rPr>
        <w:t xml:space="preserve">[14]</w:t>
      </w:r>
    </w:p>
    <w:p>
      <w:pPr>
        <w:pStyle w:val="BodyText"/>
      </w:pPr>
      <w:r>
        <w:t xml:space="preserve">A structured risk-of-bias appraisal of the priority human records is summarised in Table 3. The credibility-versus-promotional-language comparison is shown in Figure 3, and the translational-readiness map is shown in Figure 4.</w:t>
      </w:r>
    </w:p>
    <w:bookmarkEnd w:id="12"/>
    <w:bookmarkStart w:id="13" w:name="discussion"/>
    <w:p>
      <w:pPr>
        <w:pStyle w:val="Heading1"/>
      </w:pPr>
      <w:r>
        <w:t xml:space="preserve">Discussion</w:t>
      </w:r>
    </w:p>
    <w:p>
      <w:pPr>
        <w:pStyle w:val="FirstParagraph"/>
      </w:pPr>
      <w:r>
        <w:t xml:space="preserve">The principal finding is deliberately conservative. In the mapped evidence, exercise has the clearest human healthspan signal, supporting functional healthy-ageing benefit rather than age reversal.</w:t>
      </w:r>
      <w:r>
        <w:rPr>
          <w:vertAlign w:val="superscript"/>
        </w:rPr>
        <w:t xml:space="preserve">[2,4-6]</w:t>
      </w:r>
      <w:r>
        <w:t xml:space="preserve"> </w:t>
      </w:r>
      <w:r>
        <w:t xml:space="preserve">Notably, that signal operates largely through frailty. Frailty is a central organising construct in geriatric medicine: it integrates falls, weakness, dependency, and hospitalisation risk, and it is the outcome through which the highest-ranked evidence here — the multimodal exercise trial, the exergame frailty/sarcopenia trial, and the five-cohort frailty–mortality analysis — demonstrates benefit.</w:t>
      </w:r>
      <w:r>
        <w:rPr>
          <w:vertAlign w:val="superscript"/>
        </w:rPr>
        <w:t xml:space="preserve">[2,4,6]</w:t>
      </w:r>
      <w:r>
        <w:t xml:space="preserve"> </w:t>
      </w:r>
      <w:r>
        <w:t xml:space="preserve">This reinforces frailty reduction, rather than biological-age reversal, as the most defensible current target of healthy-ageing intervention.</w:t>
      </w:r>
    </w:p>
    <w:p>
      <w:pPr>
        <w:pStyle w:val="BodyText"/>
      </w:pPr>
      <w:r>
        <w:t xml:space="preserve">Several other interventions show plausible biological or early human signals, but the present evidence does not justify clinical rejuvenation claims. Rapamycin/mTOR, senolytics, NAD+/sirtuin approaches, microbiome modulation, caloric restriction, and fasting are best described as promising or hypothesis-supporting until full-text eligibility, risk of bias, effect estimates, dosing, comparator details, and safety outcomes are confirmed in confirmatory syntheses.</w:t>
      </w:r>
      <w:r>
        <w:rPr>
          <w:vertAlign w:val="superscript"/>
        </w:rPr>
        <w:t xml:space="preserve">[3,7-9,12-14]</w:t>
      </w:r>
      <w:r>
        <w:t xml:space="preserve"> </w:t>
      </w:r>
      <w:r>
        <w:t xml:space="preserve">The same discipline that governs rational geriatric prescribing applies here: a medication is justified only when it is necessary and its benefit outweighs its harm, not merely because a mechanism is plausible or desirable. Pharmacologic anti-ageing candidates such as rapamycin, metformin, senolytics, and supplements should therefore not be adopted on mechanistic grounds; their necessity, benefit, dose, and safety must first be established in confirmatory human trials, lest polypharmacy and avoidable harm be introduced in pursuit of an unproven endpoint.</w:t>
      </w:r>
    </w:p>
    <w:p>
      <w:pPr>
        <w:pStyle w:val="BodyText"/>
      </w:pPr>
      <w:r>
        <w:t xml:space="preserve">These findings sit within, but should not be conflated with, the wider geroscience literature. The biology of ageing offers a rich set of candidate mechanisms — nutrient-sensing pathways, cellular senescence, chronic inflammation, epigenetic drift, mitochondrial decline, impaired proteostasis, and stem-cell exhaustion — and many of the interventions ranked here act, at least in animal or cellular models, on one or more of these mechanisms. Mechanistic breadth is precisely why the field is prone to overclaiming: a plausible pathway is read as a clinical promise. The present map deliberately holds mechanism and human outcome apart, and the ranking shows that mechanistic prominence and human-evidence strength are poorly correlated. Stem-cell and reprogramming approaches, which dominate mechanistic and popular discussion, sit at the bottom of the credibility ranking precisely because direct human functional evidence is absent, whereas exercise — mechanistically diffuse but clinically well studied — sits at the top.</w:t>
      </w:r>
    </w:p>
    <w:p>
      <w:pPr>
        <w:pStyle w:val="BodyText"/>
      </w:pPr>
      <w:r>
        <w:t xml:space="preserve">A second contribution of this work is methodological. Rather than asserting a single qualitative judgement, the credibility score makes the basis of each ranking explicit and reproducible: it rewards human and human-trial evidence and direct ageing or healthspan outcomes, and penalises surrogate burden and promotional language. The promotional-language dimension (Figure 3) is unusual for an evidence synthesis but is well suited to a field in which marketing frequently outpaces data; it provides a transparent, quantifiable proxy for the gap between what is claimed and what is shown. The scheme is not a substitute for formal certainty rating such as GRADE, and it is offered as a screening and prioritisation tool rather than a final grading instrument.</w:t>
      </w:r>
    </w:p>
    <w:p>
      <w:pPr>
        <w:pStyle w:val="BodyText"/>
      </w:pPr>
      <w:r>
        <w:t xml:space="preserve">The evidence map illustrates why clinical translation should remain conservative. A study can be randomised and still address a surrogate rather than a direct ageing outcome. A biomarker may shift favourably without demonstrating durable functional rejuvenation. A protocol or trial-design record provides field mapping but should not be counted as outcome evidence. Table 1 ranks intervention domains, Table 2 summarises representative effect estimates, and Table 3 reports the structured risk-of-bias appraisal.</w:t>
      </w:r>
    </w:p>
    <w:p>
      <w:pPr>
        <w:pStyle w:val="BodyText"/>
      </w:pPr>
      <w:r>
        <w:t xml:space="preserve">The effect-estimate table is intentionally not a meta-analysis table. It contains heterogeneous estimates — confidence intervals for frailty or cognitive outcomes, p-values for biomarker changes, feasibility information, and trial-design records with no outcome effect. Combining these would imply a comparability the extracted data do not support. Evidence is therefore summarised by intervention domain, outcome directness, and translational readiness.</w:t>
      </w:r>
    </w:p>
    <w:p>
      <w:pPr>
        <w:pStyle w:val="BodyText"/>
      </w:pPr>
      <w:r>
        <w:t xml:space="preserve">For clinical readers, the most important distinction is between healthspan evidence and age-reversal evidence. Exercise and multidomain lifestyle interventions have plausible and partly quantified effects on frailty, physical performance, and function, but these do not demonstrate biological-age reversal. Fasting-mimicking diet and topical rapamycin include biomarker-oriented results, but biomarker movement remains an intermediate signal unless accompanied by durable functional benefit, reduced morbidity, or survival advantage. A related caution applies to surrogate and screening-based outcomes drawn from the primary trials. Cognitive endpoints, for example, depend on the instrument used: brief screens such as the Mini-Mental State Examination are sensitive to education and literacy and can misclassify normal ageing, so a favourable cognitive or biomarker change should be read as a measurement-bounded signal rather than as evidence of reversed disease.</w:t>
      </w:r>
    </w:p>
    <w:p>
      <w:pPr>
        <w:pStyle w:val="BodyText"/>
      </w:pPr>
      <w:r>
        <w:t xml:space="preserve">For senolytics, reprogramming, stem-cell and regenerative approaches, plasma-based interventions, and NAD+/sirtuin supplementation, mechanistic plausibility is not the same as clinical readiness. The current evidence set does not justify public or clinical messaging that these interventions reverse ageing.</w:t>
      </w:r>
    </w:p>
    <w:p>
      <w:pPr>
        <w:pStyle w:val="BodyText"/>
      </w:pPr>
      <w:r>
        <w:t xml:space="preserve">A confirmatory extension of this work should extract denominators, baseline and follow-up means, standard deviations, between-group contrasts, adverse events, dose, comparator intensity, and follow-up duration for each eligible full text, enabling domain-specific meta-analysis for comparable outcomes such as grip strength, gait speed, frailty scores, epigenetic-age change, or selected biomarker endpoints.</w:t>
      </w:r>
    </w:p>
    <w:p>
      <w:pPr>
        <w:pStyle w:val="BodyText"/>
      </w:pPr>
      <w:r>
        <w:t xml:space="preserve">The ranking also has implications for how anti-ageing evidence is communicated to clinicians and the public. In settings where the population is ageing rapidly and out-of-pocket health spending is high, including much of India and other low- and middle-income countries, the appetite for</w:t>
      </w:r>
      <w:r>
        <w:t xml:space="preserve"> </w:t>
      </w:r>
      <w:r>
        <w:t xml:space="preserve">“anti-ageing”</w:t>
      </w:r>
      <w:r>
        <w:t xml:space="preserve"> </w:t>
      </w:r>
      <w:r>
        <w:t xml:space="preserve">products is considerable and the potential for harm — financial, and through avoidable polypharmacy or displacement of proven measures — is real. A framework that visibly separates a strong, low-cost, low-harm intervention such as physical activity from expensive, unproven, or speculative interventions is therefore of practical public-health value. It allows a clinician to say, with an explicit evidentiary basis, that the best-supported way to age well remains exercise and multidomain lifestyle support, while experimental agents belong in trials rather than in routine prescription.</w:t>
      </w:r>
    </w:p>
    <w:p>
      <w:pPr>
        <w:pStyle w:val="BodyText"/>
      </w:pPr>
      <w:r>
        <w:t xml:space="preserve">Healthy-ageing recommendations should remain grounded in interventions with reproducible human functional evidence, especially physical activity and multidomain lifestyle support. Experimental geroscience interventions should be presented as research candidates rather than age-reversal therapies unless supported by replicated human trials with clinically meaningful outcomes.</w:t>
      </w:r>
    </w:p>
    <w:bookmarkEnd w:id="13"/>
    <w:bookmarkStart w:id="14" w:name="strengths-and-limitations"/>
    <w:p>
      <w:pPr>
        <w:pStyle w:val="Heading1"/>
      </w:pPr>
      <w:r>
        <w:t xml:space="preserve">Strengths and Limitations</w:t>
      </w:r>
    </w:p>
    <w:p>
      <w:pPr>
        <w:pStyle w:val="FirstParagraph"/>
      </w:pPr>
      <w:r>
        <w:t xml:space="preserve">Strengths include a reproducible and fully documented workflow, explicit separation of healthspan, lifespan, biomarker, and rejuvenation claims, conservative scoring, prioritisation of human evidence, full-text eligibility triage, duplicate-cohort checking, a structured risk-of-bias appraisal, and figures designed to separate promotional language from evidence.</w:t>
      </w:r>
    </w:p>
    <w:p>
      <w:pPr>
        <w:pStyle w:val="BodyText"/>
      </w:pPr>
      <w:r>
        <w:t xml:space="preserve">Limitations include a defined search scope (three databases; retrieval limits) that does not capture the entire literature; single-reviewer screening without a second independent screener; a structured rather than formally adjudicated RoB 2 / ROBINS-I assessment; the absence of quantitative meta-analysis owing to heterogeneous outcome reporting; 84 overlapping-cohort or duplicate-title groups requiring further adjudication; the absence of prospective protocol registration; and abstract-metadata gaps in some records that reduce screening certainty. These constraints define the scope of the present evidence map and should be addressed in future confirmatory syntheses.</w:t>
      </w:r>
    </w:p>
    <w:bookmarkEnd w:id="14"/>
    <w:bookmarkStart w:id="15" w:name="conclusion"/>
    <w:p>
      <w:pPr>
        <w:pStyle w:val="Heading1"/>
      </w:pPr>
      <w:r>
        <w:t xml:space="preserve">Conclusion</w:t>
      </w:r>
    </w:p>
    <w:p>
      <w:pPr>
        <w:pStyle w:val="FirstParagraph"/>
      </w:pPr>
      <w:r>
        <w:t xml:space="preserve">The mapped evidence supports a cautious hierarchy: exercise has the strongest human healthspan signal, while pharmacologic, nutritional, senolytic, NAD+/sirtuin, microbiome, and regenerative approaches remain promising but unproven for clinical age reversal. Biomarker improvements should not be equated with rejuvenation in the absence of durable functional and clinical benefit. Future research should prioritise pre-registered systematic reviews and meta-analyses with complete full-text eligibility adjudication, formal risk-of-bias assessment, and harmonised effect-size extraction across comparable outcomes, to generate definitive, poolable evidence on the most promising anti-ageing intervention domains.</w:t>
      </w:r>
    </w:p>
    <w:bookmarkEnd w:id="15"/>
    <w:bookmarkStart w:id="16" w:name="acknowledgements"/>
    <w:p>
      <w:pPr>
        <w:pStyle w:val="Heading1"/>
      </w:pPr>
      <w:r>
        <w:t xml:space="preserve">Acknowledgements</w:t>
      </w:r>
    </w:p>
    <w:p>
      <w:pPr>
        <w:pStyle w:val="FirstParagraph"/>
      </w:pPr>
      <w:r>
        <w:t xml:space="preserve">None declared.</w:t>
      </w:r>
    </w:p>
    <w:bookmarkEnd w:id="16"/>
    <w:bookmarkStart w:id="17" w:name="ethics"/>
    <w:p>
      <w:pPr>
        <w:pStyle w:val="Heading1"/>
      </w:pPr>
      <w:r>
        <w:t xml:space="preserve">Ethics</w:t>
      </w:r>
    </w:p>
    <w:p>
      <w:pPr>
        <w:pStyle w:val="FirstParagraph"/>
      </w:pPr>
      <w:r>
        <w:t xml:space="preserve">Ethics committee approval was not required because this review used public bibliographic metadata and open-access text only, with no individual participant data.</w:t>
      </w:r>
    </w:p>
    <w:bookmarkEnd w:id="17"/>
    <w:bookmarkStart w:id="18" w:name="funding"/>
    <w:p>
      <w:pPr>
        <w:pStyle w:val="Heading1"/>
      </w:pPr>
      <w:r>
        <w:t xml:space="preserve">Funding</w:t>
      </w:r>
    </w:p>
    <w:p>
      <w:pPr>
        <w:pStyle w:val="FirstParagraph"/>
      </w:pPr>
      <w:r>
        <w:t xml:space="preserve">No external funding is declared.</w:t>
      </w:r>
    </w:p>
    <w:bookmarkEnd w:id="18"/>
    <w:bookmarkStart w:id="19" w:name="conflicts-of-interest"/>
    <w:p>
      <w:pPr>
        <w:pStyle w:val="Heading1"/>
      </w:pPr>
      <w:r>
        <w:t xml:space="preserve">Conflicts of Interest</w:t>
      </w:r>
    </w:p>
    <w:p>
      <w:pPr>
        <w:pStyle w:val="FirstParagraph"/>
      </w:pPr>
      <w:r>
        <w:t xml:space="preserve">None declared.</w:t>
      </w:r>
    </w:p>
    <w:bookmarkEnd w:id="19"/>
    <w:bookmarkStart w:id="20" w:name="data-availability"/>
    <w:p>
      <w:pPr>
        <w:pStyle w:val="Heading1"/>
      </w:pPr>
      <w:r>
        <w:t xml:space="preserve">Data Availability</w:t>
      </w:r>
    </w:p>
    <w:p>
      <w:pPr>
        <w:pStyle w:val="FirstParagraph"/>
      </w:pPr>
      <w:r>
        <w:t xml:space="preserve">The credibility-ranking and translational-readiness tables, the figures, and the analysis scripts that generated them are openly available at the project repository: https://github.com/hssling/deai-ecological-validation-india. Additional records identified in the search are listed in Supplementary Table S1. Raw full-text cache files (PMC and PubMed XML) are not redistributed owing to publisher licence constraints; they can be regenerated by running the documented retrieval workflow.</w:t>
      </w:r>
    </w:p>
    <w:p>
      <w:pPr>
        <w:pStyle w:val="BodyText"/>
      </w:pPr>
      <w:r>
        <w:rPr>
          <w:b/>
          <w:bCs/>
        </w:rPr>
        <w:t xml:space="preserve">Author contributions:</w:t>
      </w:r>
      <w:r>
        <w:t xml:space="preserve"> </w:t>
      </w:r>
      <w:r>
        <w:t xml:space="preserve">Dr S H S: concept, study design, data curation, formal analysis, evidence synthesis, manuscript drafting, manuscript review, and guarantor.</w:t>
      </w:r>
    </w:p>
    <w:p>
      <w:pPr>
        <w:pStyle w:val="BodyText"/>
      </w:pPr>
      <w:r>
        <w:rPr>
          <w:b/>
          <w:bCs/>
        </w:rPr>
        <w:t xml:space="preserve">Use of AI/software:</w:t>
      </w:r>
      <w:r>
        <w:t xml:space="preserve"> </w:t>
      </w:r>
      <w:r>
        <w:t xml:space="preserve">Automated scripts were used for literature-metadata retrieval, screening support, extraction support, evidence scoring, and figure generation. All scientific claims were verified by the author before submission.</w:t>
      </w:r>
    </w:p>
    <w:bookmarkEnd w:id="20"/>
    <w:bookmarkStart w:id="21" w:name="references"/>
    <w:p>
      <w:pPr>
        <w:pStyle w:val="Heading1"/>
      </w:pPr>
      <w:r>
        <w:t xml:space="preserve">References</w:t>
      </w:r>
    </w:p>
    <w:p>
      <w:pPr>
        <w:numPr>
          <w:ilvl w:val="0"/>
          <w:numId w:val="1001"/>
        </w:numPr>
      </w:pPr>
      <w:r>
        <w:t xml:space="preserve">Yap KH, Chen C, Chong EJY, Kandiah N, Kivipelto M, Lai MKP, et al. Baseline characteristics of the SINGER multidomain dementia prevention randomized controlled trial and insights from the recruitment process. Alzheimers Dement. 2026;22(4):e71313. doi:10.1002/alz.71313.</w:t>
      </w:r>
    </w:p>
    <w:p>
      <w:pPr>
        <w:numPr>
          <w:ilvl w:val="0"/>
          <w:numId w:val="1001"/>
        </w:numPr>
      </w:pPr>
      <w:r>
        <w:t xml:space="preserve">Zanotto T, Tabatabaei A, Lynch SG, He J, Lysaught M, Ahmadnezhad P, et al. Reducing frailty in frail people with multiple sclerosis: feasibility of a 6-week multimodal exercise training program. PLoS One. 2026;21(4):e0347063. doi:10.1371/journal.pone.0347063.</w:t>
      </w:r>
    </w:p>
    <w:p>
      <w:pPr>
        <w:numPr>
          <w:ilvl w:val="0"/>
          <w:numId w:val="1001"/>
        </w:numPr>
      </w:pPr>
      <w:r>
        <w:t xml:space="preserve">Ni Lochlainn M, Bowyer RCE, Moll JM, Garcia MP, Wadge S, Baleanu AF, et al. Effect of gut microbiome modulation on muscle function and cognition: the PROMOTe randomised controlled trial. Nat Commun. 2024;15(1):1859. doi:10.1038/s41467-024-46116-y.</w:t>
      </w:r>
    </w:p>
    <w:p>
      <w:pPr>
        <w:numPr>
          <w:ilvl w:val="0"/>
          <w:numId w:val="1001"/>
        </w:numPr>
      </w:pPr>
      <w:r>
        <w:t xml:space="preserve">Tuan SH, Chang LH, Sun SF, Li CH, Chen GB, Tsai YJ. Assessing the clinical effectiveness of an exergame-based exercise training program using Ring Fit Adventure to prevent and postpone frailty and sarcopenia among older adults in rural long-term care facilities: randomized controlled trial. J Med Internet Res. 2024;26:e59468. doi:10.2196/59468.</w:t>
      </w:r>
    </w:p>
    <w:p>
      <w:pPr>
        <w:numPr>
          <w:ilvl w:val="0"/>
          <w:numId w:val="1001"/>
        </w:numPr>
      </w:pPr>
      <w:r>
        <w:t xml:space="preserve">Yoon DH, Lee JY, Song W. Effects of resistance exercise training on cognitive function and physical performance in cognitive frailty: a randomized controlled trial. J Nutr Health Aging. 2018;22(8):944-951. doi:10.1007/s12603-018-1090-9.</w:t>
      </w:r>
    </w:p>
    <w:p>
      <w:pPr>
        <w:numPr>
          <w:ilvl w:val="0"/>
          <w:numId w:val="1001"/>
        </w:numPr>
      </w:pPr>
      <w:r>
        <w:t xml:space="preserve">Zhu Z, Zhou X, Chen M, Dou C, Liu D, Kong L, et al. Interaction between physical activity and deficit-based frailty on all-cause mortality in older adults: a prospective study of five population-based cohorts. Lancet Reg Health West Pac. 2025;66:101780. doi:10.1016/j.lanwpc.2025.101780.</w:t>
      </w:r>
    </w:p>
    <w:p>
      <w:pPr>
        <w:numPr>
          <w:ilvl w:val="0"/>
          <w:numId w:val="1001"/>
        </w:numPr>
      </w:pPr>
      <w:r>
        <w:t xml:space="preserve">Brandhorst S, Levine ME, Wei M, Shelehchi M, Morgan TE, Nayak KS, et al. Fasting-mimicking diet causes hepatic and blood markers changes indicating reduced biological age and disease risk. Nat Commun. 2024;15(1):1309. doi:10.1038/s41467-024-45260-9.</w:t>
      </w:r>
    </w:p>
    <w:p>
      <w:pPr>
        <w:numPr>
          <w:ilvl w:val="0"/>
          <w:numId w:val="1001"/>
        </w:numPr>
      </w:pPr>
      <w:r>
        <w:t xml:space="preserve">Chung CL, Lawrence I, Hoffman M, Elgindi D, Nadhan K, Potnis M, et al. Topical rapamycin reduces markers of senescence and aging in human skin: an exploratory, prospective, randomized trial. GeroScience. 2019;41(6):861-869. PMID:31761958.</w:t>
      </w:r>
    </w:p>
    <w:p>
      <w:pPr>
        <w:numPr>
          <w:ilvl w:val="0"/>
          <w:numId w:val="1001"/>
        </w:numPr>
      </w:pPr>
      <w:r>
        <w:t xml:space="preserve">Moel M, Harinath G, Lee V, Nyquist A, Morgan SL, Isman A, et al. Influence of rapamycin on safety and healthspan metrics after one year: PEARL trial results. Aging (Albany NY). 2025;17(4):840-863. PMID:40188830.</w:t>
      </w:r>
    </w:p>
    <w:p>
      <w:pPr>
        <w:numPr>
          <w:ilvl w:val="0"/>
          <w:numId w:val="1001"/>
        </w:numPr>
      </w:pPr>
      <w:r>
        <w:t xml:space="preserve">Brandhorst S, Choi IY, Wei M, Cheng CW, Sedrakyan S, Navarrete G, et al. A periodic diet that mimics fasting promotes multi-system regeneration, enhanced cognitive performance, and healthspan. Cell Metab. 2015;22(1):86-99. PMID:26094889.</w:t>
      </w:r>
    </w:p>
    <w:p>
      <w:pPr>
        <w:numPr>
          <w:ilvl w:val="0"/>
          <w:numId w:val="1001"/>
        </w:numPr>
      </w:pPr>
      <w:r>
        <w:t xml:space="preserve">Collins J, Longhurst G, Roschel H, Gualano B. Resistance training and co-supplementation with creatine and protein in older subjects with frailty. J Frailty Aging. 2016. doi:10.14283/jfa.2016.85.</w:t>
      </w:r>
    </w:p>
    <w:p>
      <w:pPr>
        <w:numPr>
          <w:ilvl w:val="0"/>
          <w:numId w:val="1001"/>
        </w:numPr>
      </w:pPr>
      <w:r>
        <w:t xml:space="preserve">Houston DK, Fanning J, Nicklas BJ, Delany JP, Hsu FC, Chen SH, et al. Caloric restriction and time-restricted eating in older adults with overweight or obesity: the HALLO Pilot Study. J Gerontol A Biol Sci Med Sci. 2026;81(4):glag061. doi:10.1093/gerona/glag061.</w:t>
      </w:r>
    </w:p>
    <w:p>
      <w:pPr>
        <w:numPr>
          <w:ilvl w:val="0"/>
          <w:numId w:val="1001"/>
        </w:numPr>
      </w:pPr>
      <w:r>
        <w:t xml:space="preserve">Olaso-Gonzalez G, Millan-Domingo F, Garcia-Fernandez L, Garcia-Tercero E, Cebrian M, Garcia-Dominguez C, et al. A multidomain lifestyle intervention is associated with improved functional trajectories and favorable changes in epigenetic aging markers in frail older adults: a randomized controlled trial. Aging Cell. 2026. doi:10.1111/acel.70376.</w:t>
      </w:r>
    </w:p>
    <w:p>
      <w:pPr>
        <w:numPr>
          <w:ilvl w:val="0"/>
          <w:numId w:val="1001"/>
        </w:numPr>
      </w:pPr>
      <w:r>
        <w:t xml:space="preserve">Ji J, Crespi CM, Yee L, Zekster YA, Al-Saleem A, Petersen L, et al. A phase II randomized placebo-controlled study of fisetin to improve physical function in breast cancer survivors: the TROFFi study rationale and trial design. Ther Adv Med Oncol. 2026;18:17588359261424668. doi:10.1177/17588359261424668.</w:t>
      </w:r>
    </w:p>
    <w:p>
      <w:pPr>
        <w:pStyle w:val="FirstParagraph"/>
      </w:pPr>
      <w:r>
        <w:rPr>
          <w:i/>
          <w:iCs/>
        </w:rPr>
        <w:t xml:space="preserve">References 15–40: additional records identified in the search are listed in Supplementary Table S1 and cited collectively in the Methods section.</w:t>
      </w:r>
    </w:p>
    <w:bookmarkEnd w:id="21"/>
    <w:bookmarkStart w:id="22" w:name="tables"/>
    <w:p>
      <w:pPr>
        <w:pStyle w:val="Heading1"/>
      </w:pPr>
      <w:r>
        <w:t xml:space="preserve">Tables</w:t>
      </w:r>
    </w:p>
    <w:p>
      <w:pPr>
        <w:pStyle w:val="FirstParagraph"/>
      </w:pPr>
      <w:r>
        <w:rPr>
          <w:i/>
          <w:iCs/>
        </w:rPr>
        <w:t xml:space="preserve">Tables are placed after the references for typesetting; each is cited at first mention in the text.</w:t>
      </w:r>
    </w:p>
    <w:p>
      <w:pPr>
        <w:pStyle w:val="BodyText"/>
      </w:pPr>
      <w:r>
        <w:rPr>
          <w:b/>
          <w:bCs/>
        </w:rPr>
        <w:t xml:space="preserve">Table 1. Intervention credibility ranking derived from extracted evidence (n=14 intervention classes; 1029 deduplicated records).</w:t>
      </w:r>
      <w:r>
        <w:t xml:space="preserve"> </w:t>
      </w:r>
      <w:r>
        <w:t xml:space="preserve">The credibility score integrates human record count, human-trial count, direct ageing/healthspan outcomes, biomarker evidence, surrogate burden, and a promotional-language penalty.</w:t>
      </w:r>
    </w:p>
    <w:tbl>
      <w:tblPr>
        <w:tblStyle w:val="Table"/>
        <w:tblW w:type="pct" w:w="5000"/>
        <w:tblLayout w:type="fixed"/>
        <w:tblLook w:firstRow="1" w:lastRow="0" w:firstColumn="0" w:lastColumn="0" w:noHBand="0" w:noVBand="0" w:val="0020"/>
      </w:tblPr>
      <w:tblGrid>
        <w:gridCol w:w="428"/>
        <w:gridCol w:w="1427"/>
        <w:gridCol w:w="927"/>
        <w:gridCol w:w="1070"/>
        <w:gridCol w:w="998"/>
        <w:gridCol w:w="1355"/>
        <w:gridCol w:w="1712"/>
      </w:tblGrid>
      <w:tr>
        <w:trPr>
          <w:tblHeader w:val="on"/>
        </w:trPr>
        <w:tc>
          <w:tcPr/>
          <w:p>
            <w:pPr>
              <w:pStyle w:val="Compact"/>
            </w:pPr>
            <w:r>
              <w:t xml:space="preserve">Rank</w:t>
            </w:r>
          </w:p>
        </w:tc>
        <w:tc>
          <w:tcPr/>
          <w:p>
            <w:pPr>
              <w:pStyle w:val="Compact"/>
            </w:pPr>
            <w:r>
              <w:t xml:space="preserve">Intervention class</w:t>
            </w:r>
          </w:p>
        </w:tc>
        <w:tc>
          <w:tcPr/>
          <w:p>
            <w:pPr>
              <w:pStyle w:val="Compact"/>
            </w:pPr>
            <w:r>
              <w:t xml:space="preserve">Records (n)</w:t>
            </w:r>
          </w:p>
        </w:tc>
        <w:tc>
          <w:tcPr/>
          <w:p>
            <w:pPr>
              <w:pStyle w:val="Compact"/>
            </w:pPr>
            <w:r>
              <w:t xml:space="preserve">Human records</w:t>
            </w:r>
          </w:p>
        </w:tc>
        <w:tc>
          <w:tcPr/>
          <w:p>
            <w:pPr>
              <w:pStyle w:val="Compact"/>
            </w:pPr>
            <w:r>
              <w:t xml:space="preserve">Human trials</w:t>
            </w:r>
          </w:p>
        </w:tc>
        <w:tc>
          <w:tcPr/>
          <w:p>
            <w:pPr>
              <w:pStyle w:val="Compact"/>
            </w:pPr>
            <w:r>
              <w:t xml:space="preserve">Credibility score</w:t>
            </w:r>
          </w:p>
        </w:tc>
        <w:tc>
          <w:tcPr/>
          <w:p>
            <w:pPr>
              <w:pStyle w:val="Compact"/>
            </w:pPr>
            <w:r>
              <w:t xml:space="preserve">Translational category</w:t>
            </w:r>
          </w:p>
        </w:tc>
      </w:tr>
      <w:tr>
        <w:tc>
          <w:tcPr/>
          <w:p>
            <w:pPr>
              <w:pStyle w:val="Compact"/>
            </w:pPr>
            <w:r>
              <w:t xml:space="preserve">1</w:t>
            </w:r>
          </w:p>
        </w:tc>
        <w:tc>
          <w:tcPr/>
          <w:p>
            <w:pPr>
              <w:pStyle w:val="Compact"/>
            </w:pPr>
            <w:r>
              <w:t xml:space="preserve">Exercise</w:t>
            </w:r>
          </w:p>
        </w:tc>
        <w:tc>
          <w:tcPr/>
          <w:p>
            <w:pPr>
              <w:pStyle w:val="Compact"/>
            </w:pPr>
            <w:r>
              <w:t xml:space="preserve">80</w:t>
            </w:r>
          </w:p>
        </w:tc>
        <w:tc>
          <w:tcPr/>
          <w:p>
            <w:pPr>
              <w:pStyle w:val="Compact"/>
            </w:pPr>
            <w:r>
              <w:t xml:space="preserve">37</w:t>
            </w:r>
          </w:p>
        </w:tc>
        <w:tc>
          <w:tcPr/>
          <w:p>
            <w:pPr>
              <w:pStyle w:val="Compact"/>
            </w:pPr>
            <w:r>
              <w:t xml:space="preserve">10</w:t>
            </w:r>
          </w:p>
        </w:tc>
        <w:tc>
          <w:tcPr/>
          <w:p>
            <w:pPr>
              <w:pStyle w:val="Compact"/>
            </w:pPr>
            <w:r>
              <w:t xml:space="preserve">31.48</w:t>
            </w:r>
          </w:p>
        </w:tc>
        <w:tc>
          <w:tcPr/>
          <w:p>
            <w:pPr>
              <w:pStyle w:val="Compact"/>
            </w:pPr>
            <w:r>
              <w:t xml:space="preserve">Strongest current human healthspan signal</w:t>
            </w:r>
          </w:p>
        </w:tc>
      </w:tr>
      <w:tr>
        <w:tc>
          <w:tcPr/>
          <w:p>
            <w:pPr>
              <w:pStyle w:val="Compact"/>
            </w:pPr>
            <w:r>
              <w:t xml:space="preserve">2</w:t>
            </w:r>
          </w:p>
        </w:tc>
        <w:tc>
          <w:tcPr/>
          <w:p>
            <w:pPr>
              <w:pStyle w:val="Compact"/>
            </w:pPr>
            <w:r>
              <w:t xml:space="preserve">Microbiome</w:t>
            </w:r>
          </w:p>
        </w:tc>
        <w:tc>
          <w:tcPr/>
          <w:p>
            <w:pPr>
              <w:pStyle w:val="Compact"/>
            </w:pPr>
            <w:r>
              <w:t xml:space="preserve">58</w:t>
            </w:r>
          </w:p>
        </w:tc>
        <w:tc>
          <w:tcPr/>
          <w:p>
            <w:pPr>
              <w:pStyle w:val="Compact"/>
            </w:pPr>
            <w:r>
              <w:t xml:space="preserve">8</w:t>
            </w:r>
          </w:p>
        </w:tc>
        <w:tc>
          <w:tcPr/>
          <w:p>
            <w:pPr>
              <w:pStyle w:val="Compact"/>
            </w:pPr>
            <w:r>
              <w:t xml:space="preserve">2</w:t>
            </w:r>
          </w:p>
        </w:tc>
        <w:tc>
          <w:tcPr/>
          <w:p>
            <w:pPr>
              <w:pStyle w:val="Compact"/>
            </w:pPr>
            <w:r>
              <w:t xml:space="preserve">21.50</w:t>
            </w:r>
          </w:p>
        </w:tc>
        <w:tc>
          <w:tcPr/>
          <w:p>
            <w:pPr>
              <w:pStyle w:val="Compact"/>
            </w:pPr>
            <w:r>
              <w:t xml:space="preserve">Human signal, requires confirmation</w:t>
            </w:r>
          </w:p>
        </w:tc>
      </w:tr>
      <w:tr>
        <w:tc>
          <w:tcPr/>
          <w:p>
            <w:pPr>
              <w:pStyle w:val="Compact"/>
            </w:pPr>
            <w:r>
              <w:t xml:space="preserve">3</w:t>
            </w:r>
          </w:p>
        </w:tc>
        <w:tc>
          <w:tcPr/>
          <w:p>
            <w:pPr>
              <w:pStyle w:val="Compact"/>
            </w:pPr>
            <w:r>
              <w:t xml:space="preserve">Rapamycin/mTOR</w:t>
            </w:r>
          </w:p>
        </w:tc>
        <w:tc>
          <w:tcPr/>
          <w:p>
            <w:pPr>
              <w:pStyle w:val="Compact"/>
            </w:pPr>
            <w:r>
              <w:t xml:space="preserve">34</w:t>
            </w:r>
          </w:p>
        </w:tc>
        <w:tc>
          <w:tcPr/>
          <w:p>
            <w:pPr>
              <w:pStyle w:val="Compact"/>
            </w:pPr>
            <w:r>
              <w:t xml:space="preserve">7</w:t>
            </w:r>
          </w:p>
        </w:tc>
        <w:tc>
          <w:tcPr/>
          <w:p>
            <w:pPr>
              <w:pStyle w:val="Compact"/>
            </w:pPr>
            <w:r>
              <w:t xml:space="preserve">3</w:t>
            </w:r>
          </w:p>
        </w:tc>
        <w:tc>
          <w:tcPr/>
          <w:p>
            <w:pPr>
              <w:pStyle w:val="Compact"/>
            </w:pPr>
            <w:r>
              <w:t xml:space="preserve">21.24</w:t>
            </w:r>
          </w:p>
        </w:tc>
        <w:tc>
          <w:tcPr/>
          <w:p>
            <w:pPr>
              <w:pStyle w:val="Compact"/>
            </w:pPr>
            <w:r>
              <w:t xml:space="preserve">Human signal, requires confirmation</w:t>
            </w:r>
          </w:p>
        </w:tc>
      </w:tr>
      <w:tr>
        <w:tc>
          <w:tcPr/>
          <w:p>
            <w:pPr>
              <w:pStyle w:val="Compact"/>
            </w:pPr>
            <w:r>
              <w:t xml:space="preserve">4</w:t>
            </w:r>
          </w:p>
        </w:tc>
        <w:tc>
          <w:tcPr/>
          <w:p>
            <w:pPr>
              <w:pStyle w:val="Compact"/>
            </w:pPr>
            <w:r>
              <w:t xml:space="preserve">Senolytics</w:t>
            </w:r>
          </w:p>
        </w:tc>
        <w:tc>
          <w:tcPr/>
          <w:p>
            <w:pPr>
              <w:pStyle w:val="Compact"/>
            </w:pPr>
            <w:r>
              <w:t xml:space="preserve">63</w:t>
            </w:r>
          </w:p>
        </w:tc>
        <w:tc>
          <w:tcPr/>
          <w:p>
            <w:pPr>
              <w:pStyle w:val="Compact"/>
            </w:pPr>
            <w:r>
              <w:t xml:space="preserve">7</w:t>
            </w:r>
          </w:p>
        </w:tc>
        <w:tc>
          <w:tcPr/>
          <w:p>
            <w:pPr>
              <w:pStyle w:val="Compact"/>
            </w:pPr>
            <w:r>
              <w:t xml:space="preserve">1</w:t>
            </w:r>
          </w:p>
        </w:tc>
        <w:tc>
          <w:tcPr/>
          <w:p>
            <w:pPr>
              <w:pStyle w:val="Compact"/>
            </w:pPr>
            <w:r>
              <w:t xml:space="preserve">19.94</w:t>
            </w:r>
          </w:p>
        </w:tc>
        <w:tc>
          <w:tcPr/>
          <w:p>
            <w:pPr>
              <w:pStyle w:val="Compact"/>
            </w:pPr>
            <w:r>
              <w:t xml:space="preserve">Human signal, requires confirmation</w:t>
            </w:r>
          </w:p>
        </w:tc>
      </w:tr>
      <w:tr>
        <w:tc>
          <w:tcPr/>
          <w:p>
            <w:pPr>
              <w:pStyle w:val="Compact"/>
            </w:pPr>
            <w:r>
              <w:t xml:space="preserve">5</w:t>
            </w:r>
          </w:p>
        </w:tc>
        <w:tc>
          <w:tcPr/>
          <w:p>
            <w:pPr>
              <w:pStyle w:val="Compact"/>
            </w:pPr>
            <w:r>
              <w:t xml:space="preserve">Caloric restriction</w:t>
            </w:r>
          </w:p>
        </w:tc>
        <w:tc>
          <w:tcPr/>
          <w:p>
            <w:pPr>
              <w:pStyle w:val="Compact"/>
            </w:pPr>
            <w:r>
              <w:t xml:space="preserve">57</w:t>
            </w:r>
          </w:p>
        </w:tc>
        <w:tc>
          <w:tcPr/>
          <w:p>
            <w:pPr>
              <w:pStyle w:val="Compact"/>
            </w:pPr>
            <w:r>
              <w:t xml:space="preserve">5</w:t>
            </w:r>
          </w:p>
        </w:tc>
        <w:tc>
          <w:tcPr/>
          <w:p>
            <w:pPr>
              <w:pStyle w:val="Compact"/>
            </w:pPr>
            <w:r>
              <w:t xml:space="preserve">3</w:t>
            </w:r>
          </w:p>
        </w:tc>
        <w:tc>
          <w:tcPr/>
          <w:p>
            <w:pPr>
              <w:pStyle w:val="Compact"/>
            </w:pPr>
            <w:r>
              <w:t xml:space="preserve">19.52</w:t>
            </w:r>
          </w:p>
        </w:tc>
        <w:tc>
          <w:tcPr/>
          <w:p>
            <w:pPr>
              <w:pStyle w:val="Compact"/>
            </w:pPr>
            <w:r>
              <w:t xml:space="preserve">Human signal, requires confirmation</w:t>
            </w:r>
          </w:p>
        </w:tc>
      </w:tr>
      <w:tr>
        <w:tc>
          <w:tcPr/>
          <w:p>
            <w:pPr>
              <w:pStyle w:val="Compact"/>
            </w:pPr>
            <w:r>
              <w:t xml:space="preserve">6</w:t>
            </w:r>
          </w:p>
        </w:tc>
        <w:tc>
          <w:tcPr/>
          <w:p>
            <w:pPr>
              <w:pStyle w:val="Compact"/>
            </w:pPr>
            <w:r>
              <w:t xml:space="preserve">Lifestyle bundle</w:t>
            </w:r>
          </w:p>
        </w:tc>
        <w:tc>
          <w:tcPr/>
          <w:p>
            <w:pPr>
              <w:pStyle w:val="Compact"/>
            </w:pPr>
            <w:r>
              <w:t xml:space="preserve">5</w:t>
            </w:r>
          </w:p>
        </w:tc>
        <w:tc>
          <w:tcPr/>
          <w:p>
            <w:pPr>
              <w:pStyle w:val="Compact"/>
            </w:pPr>
            <w:r>
              <w:t xml:space="preserve">3</w:t>
            </w:r>
          </w:p>
        </w:tc>
        <w:tc>
          <w:tcPr/>
          <w:p>
            <w:pPr>
              <w:pStyle w:val="Compact"/>
            </w:pPr>
            <w:r>
              <w:t xml:space="preserve">2</w:t>
            </w:r>
          </w:p>
        </w:tc>
        <w:tc>
          <w:tcPr/>
          <w:p>
            <w:pPr>
              <w:pStyle w:val="Compact"/>
            </w:pPr>
            <w:r>
              <w:t xml:space="preserve">17.00</w:t>
            </w:r>
          </w:p>
        </w:tc>
        <w:tc>
          <w:tcPr/>
          <w:p>
            <w:pPr>
              <w:pStyle w:val="Compact"/>
            </w:pPr>
            <w:r>
              <w:t xml:space="preserve">Human signal, requires confirmation</w:t>
            </w:r>
          </w:p>
        </w:tc>
      </w:tr>
      <w:tr>
        <w:tc>
          <w:tcPr/>
          <w:p>
            <w:pPr>
              <w:pStyle w:val="Compact"/>
            </w:pPr>
            <w:r>
              <w:t xml:space="preserve">7</w:t>
            </w:r>
          </w:p>
        </w:tc>
        <w:tc>
          <w:tcPr/>
          <w:p>
            <w:pPr>
              <w:pStyle w:val="Compact"/>
            </w:pPr>
            <w:r>
              <w:t xml:space="preserve">NAD+/sirtuin</w:t>
            </w:r>
          </w:p>
        </w:tc>
        <w:tc>
          <w:tcPr/>
          <w:p>
            <w:pPr>
              <w:pStyle w:val="Compact"/>
            </w:pPr>
            <w:r>
              <w:t xml:space="preserve">66</w:t>
            </w:r>
          </w:p>
        </w:tc>
        <w:tc>
          <w:tcPr/>
          <w:p>
            <w:pPr>
              <w:pStyle w:val="Compact"/>
            </w:pPr>
            <w:r>
              <w:t xml:space="preserve">8</w:t>
            </w:r>
          </w:p>
        </w:tc>
        <w:tc>
          <w:tcPr/>
          <w:p>
            <w:pPr>
              <w:pStyle w:val="Compact"/>
            </w:pPr>
            <w:r>
              <w:t xml:space="preserve">2</w:t>
            </w:r>
          </w:p>
        </w:tc>
        <w:tc>
          <w:tcPr/>
          <w:p>
            <w:pPr>
              <w:pStyle w:val="Compact"/>
            </w:pPr>
            <w:r>
              <w:t xml:space="preserve">16.64</w:t>
            </w:r>
          </w:p>
        </w:tc>
        <w:tc>
          <w:tcPr/>
          <w:p>
            <w:pPr>
              <w:pStyle w:val="Compact"/>
            </w:pPr>
            <w:r>
              <w:t xml:space="preserve">Human signal, requires confirmation</w:t>
            </w:r>
          </w:p>
        </w:tc>
      </w:tr>
      <w:tr>
        <w:tc>
          <w:tcPr/>
          <w:p>
            <w:pPr>
              <w:pStyle w:val="Compact"/>
            </w:pPr>
            <w:r>
              <w:t xml:space="preserve">8</w:t>
            </w:r>
          </w:p>
        </w:tc>
        <w:tc>
          <w:tcPr/>
          <w:p>
            <w:pPr>
              <w:pStyle w:val="Compact"/>
            </w:pPr>
            <w:r>
              <w:t xml:space="preserve">Fasting</w:t>
            </w:r>
          </w:p>
        </w:tc>
        <w:tc>
          <w:tcPr/>
          <w:p>
            <w:pPr>
              <w:pStyle w:val="Compact"/>
            </w:pPr>
            <w:r>
              <w:t xml:space="preserve">13</w:t>
            </w:r>
          </w:p>
        </w:tc>
        <w:tc>
          <w:tcPr/>
          <w:p>
            <w:pPr>
              <w:pStyle w:val="Compact"/>
            </w:pPr>
            <w:r>
              <w:t xml:space="preserve">5</w:t>
            </w:r>
          </w:p>
        </w:tc>
        <w:tc>
          <w:tcPr/>
          <w:p>
            <w:pPr>
              <w:pStyle w:val="Compact"/>
            </w:pPr>
            <w:r>
              <w:t xml:space="preserve">2</w:t>
            </w:r>
          </w:p>
        </w:tc>
        <w:tc>
          <w:tcPr/>
          <w:p>
            <w:pPr>
              <w:pStyle w:val="Compact"/>
            </w:pPr>
            <w:r>
              <w:t xml:space="preserve">15.10</w:t>
            </w:r>
          </w:p>
        </w:tc>
        <w:tc>
          <w:tcPr/>
          <w:p>
            <w:pPr>
              <w:pStyle w:val="Compact"/>
            </w:pPr>
            <w:r>
              <w:t xml:space="preserve">Human signal, requires confirmation</w:t>
            </w:r>
          </w:p>
        </w:tc>
      </w:tr>
      <w:tr>
        <w:tc>
          <w:tcPr/>
          <w:p>
            <w:pPr>
              <w:pStyle w:val="Compact"/>
            </w:pPr>
            <w:r>
              <w:t xml:space="preserve">9</w:t>
            </w:r>
          </w:p>
        </w:tc>
        <w:tc>
          <w:tcPr/>
          <w:p>
            <w:pPr>
              <w:pStyle w:val="Compact"/>
            </w:pPr>
            <w:r>
              <w:t xml:space="preserve">Dietary supplements</w:t>
            </w:r>
          </w:p>
        </w:tc>
        <w:tc>
          <w:tcPr/>
          <w:p>
            <w:pPr>
              <w:pStyle w:val="Compact"/>
            </w:pPr>
            <w:r>
              <w:t xml:space="preserve">7</w:t>
            </w:r>
          </w:p>
        </w:tc>
        <w:tc>
          <w:tcPr/>
          <w:p>
            <w:pPr>
              <w:pStyle w:val="Compact"/>
            </w:pPr>
            <w:r>
              <w:t xml:space="preserve">6</w:t>
            </w:r>
          </w:p>
        </w:tc>
        <w:tc>
          <w:tcPr/>
          <w:p>
            <w:pPr>
              <w:pStyle w:val="Compact"/>
            </w:pPr>
            <w:r>
              <w:t xml:space="preserve">0</w:t>
            </w:r>
          </w:p>
        </w:tc>
        <w:tc>
          <w:tcPr/>
          <w:p>
            <w:pPr>
              <w:pStyle w:val="Compact"/>
            </w:pPr>
            <w:r>
              <w:t xml:space="preserve">13.70</w:t>
            </w:r>
          </w:p>
        </w:tc>
        <w:tc>
          <w:tcPr/>
          <w:p>
            <w:pPr>
              <w:pStyle w:val="Compact"/>
            </w:pPr>
            <w:r>
              <w:t xml:space="preserve">Biomarker / indirect human signal</w:t>
            </w:r>
          </w:p>
        </w:tc>
      </w:tr>
      <w:tr>
        <w:tc>
          <w:tcPr/>
          <w:p>
            <w:pPr>
              <w:pStyle w:val="Compact"/>
            </w:pPr>
            <w:r>
              <w:t xml:space="preserve">10</w:t>
            </w:r>
          </w:p>
        </w:tc>
        <w:tc>
          <w:tcPr/>
          <w:p>
            <w:pPr>
              <w:pStyle w:val="Compact"/>
            </w:pPr>
            <w:r>
              <w:t xml:space="preserve">Metformin</w:t>
            </w:r>
          </w:p>
        </w:tc>
        <w:tc>
          <w:tcPr/>
          <w:p>
            <w:pPr>
              <w:pStyle w:val="Compact"/>
            </w:pPr>
            <w:r>
              <w:t xml:space="preserve">15</w:t>
            </w:r>
          </w:p>
        </w:tc>
        <w:tc>
          <w:tcPr/>
          <w:p>
            <w:pPr>
              <w:pStyle w:val="Compact"/>
            </w:pPr>
            <w:r>
              <w:t xml:space="preserve">1</w:t>
            </w:r>
          </w:p>
        </w:tc>
        <w:tc>
          <w:tcPr/>
          <w:p>
            <w:pPr>
              <w:pStyle w:val="Compact"/>
            </w:pPr>
            <w:r>
              <w:t xml:space="preserve">1</w:t>
            </w:r>
          </w:p>
        </w:tc>
        <w:tc>
          <w:tcPr/>
          <w:p>
            <w:pPr>
              <w:pStyle w:val="Compact"/>
            </w:pPr>
            <w:r>
              <w:t xml:space="preserve">12.39</w:t>
            </w:r>
          </w:p>
        </w:tc>
        <w:tc>
          <w:tcPr/>
          <w:p>
            <w:pPr>
              <w:pStyle w:val="Compact"/>
            </w:pPr>
            <w:r>
              <w:t xml:space="preserve">Biomarker / indirect human signal</w:t>
            </w:r>
          </w:p>
        </w:tc>
      </w:tr>
      <w:tr>
        <w:tc>
          <w:tcPr/>
          <w:p>
            <w:pPr>
              <w:pStyle w:val="Compact"/>
            </w:pPr>
            <w:r>
              <w:t xml:space="preserve">11</w:t>
            </w:r>
          </w:p>
        </w:tc>
        <w:tc>
          <w:tcPr/>
          <w:p>
            <w:pPr>
              <w:pStyle w:val="Compact"/>
            </w:pPr>
            <w:r>
              <w:t xml:space="preserve">Sleep/circadian</w:t>
            </w:r>
          </w:p>
        </w:tc>
        <w:tc>
          <w:tcPr/>
          <w:p>
            <w:pPr>
              <w:pStyle w:val="Compact"/>
            </w:pPr>
            <w:r>
              <w:t xml:space="preserve">17</w:t>
            </w:r>
          </w:p>
        </w:tc>
        <w:tc>
          <w:tcPr/>
          <w:p>
            <w:pPr>
              <w:pStyle w:val="Compact"/>
            </w:pPr>
            <w:r>
              <w:t xml:space="preserve">1</w:t>
            </w:r>
          </w:p>
        </w:tc>
        <w:tc>
          <w:tcPr/>
          <w:p>
            <w:pPr>
              <w:pStyle w:val="Compact"/>
            </w:pPr>
            <w:r>
              <w:t xml:space="preserve">1</w:t>
            </w:r>
          </w:p>
        </w:tc>
        <w:tc>
          <w:tcPr/>
          <w:p>
            <w:pPr>
              <w:pStyle w:val="Compact"/>
            </w:pPr>
            <w:r>
              <w:t xml:space="preserve">10.45</w:t>
            </w:r>
          </w:p>
        </w:tc>
        <w:tc>
          <w:tcPr/>
          <w:p>
            <w:pPr>
              <w:pStyle w:val="Compact"/>
            </w:pPr>
            <w:r>
              <w:t xml:space="preserve">Biomarker / indirect human signal</w:t>
            </w:r>
          </w:p>
        </w:tc>
      </w:tr>
      <w:tr>
        <w:tc>
          <w:tcPr/>
          <w:p>
            <w:pPr>
              <w:pStyle w:val="Compact"/>
            </w:pPr>
            <w:r>
              <w:t xml:space="preserve">12</w:t>
            </w:r>
          </w:p>
        </w:tc>
        <w:tc>
          <w:tcPr/>
          <w:p>
            <w:pPr>
              <w:pStyle w:val="Compact"/>
            </w:pPr>
            <w:r>
              <w:t xml:space="preserve">Plasma/telomerase</w:t>
            </w:r>
          </w:p>
        </w:tc>
        <w:tc>
          <w:tcPr/>
          <w:p>
            <w:pPr>
              <w:pStyle w:val="Compact"/>
            </w:pPr>
            <w:r>
              <w:t xml:space="preserve">22</w:t>
            </w:r>
          </w:p>
        </w:tc>
        <w:tc>
          <w:tcPr/>
          <w:p>
            <w:pPr>
              <w:pStyle w:val="Compact"/>
            </w:pPr>
            <w:r>
              <w:t xml:space="preserve">2</w:t>
            </w:r>
          </w:p>
        </w:tc>
        <w:tc>
          <w:tcPr/>
          <w:p>
            <w:pPr>
              <w:pStyle w:val="Compact"/>
            </w:pPr>
            <w:r>
              <w:t xml:space="preserve">0</w:t>
            </w:r>
          </w:p>
        </w:tc>
        <w:tc>
          <w:tcPr/>
          <w:p>
            <w:pPr>
              <w:pStyle w:val="Compact"/>
            </w:pPr>
            <w:r>
              <w:t xml:space="preserve">6.88</w:t>
            </w:r>
          </w:p>
        </w:tc>
        <w:tc>
          <w:tcPr/>
          <w:p>
            <w:pPr>
              <w:pStyle w:val="Compact"/>
            </w:pPr>
            <w:r>
              <w:t xml:space="preserve">Biomarker / indirect human signal</w:t>
            </w:r>
          </w:p>
        </w:tc>
      </w:tr>
      <w:tr>
        <w:tc>
          <w:tcPr/>
          <w:p>
            <w:pPr>
              <w:pStyle w:val="Compact"/>
            </w:pPr>
            <w:r>
              <w:t xml:space="preserve">13</w:t>
            </w:r>
          </w:p>
        </w:tc>
        <w:tc>
          <w:tcPr/>
          <w:p>
            <w:pPr>
              <w:pStyle w:val="Compact"/>
            </w:pPr>
            <w:r>
              <w:t xml:space="preserve">Reprogramming</w:t>
            </w:r>
          </w:p>
        </w:tc>
        <w:tc>
          <w:tcPr/>
          <w:p>
            <w:pPr>
              <w:pStyle w:val="Compact"/>
            </w:pPr>
            <w:r>
              <w:t xml:space="preserve">13</w:t>
            </w:r>
          </w:p>
        </w:tc>
        <w:tc>
          <w:tcPr/>
          <w:p>
            <w:pPr>
              <w:pStyle w:val="Compact"/>
            </w:pPr>
            <w:r>
              <w:t xml:space="preserve">0</w:t>
            </w:r>
          </w:p>
        </w:tc>
        <w:tc>
          <w:tcPr/>
          <w:p>
            <w:pPr>
              <w:pStyle w:val="Compact"/>
            </w:pPr>
            <w:r>
              <w:t xml:space="preserve">0</w:t>
            </w:r>
          </w:p>
        </w:tc>
        <w:tc>
          <w:tcPr/>
          <w:p>
            <w:pPr>
              <w:pStyle w:val="Compact"/>
            </w:pPr>
            <w:r>
              <w:t xml:space="preserve">5.91</w:t>
            </w:r>
          </w:p>
        </w:tc>
        <w:tc>
          <w:tcPr/>
          <w:p>
            <w:pPr>
              <w:pStyle w:val="Compact"/>
            </w:pPr>
            <w:r>
              <w:t xml:space="preserve">Biomarker / indirect human signal</w:t>
            </w:r>
          </w:p>
        </w:tc>
      </w:tr>
      <w:tr>
        <w:tc>
          <w:tcPr/>
          <w:p>
            <w:pPr>
              <w:pStyle w:val="Compact"/>
            </w:pPr>
            <w:r>
              <w:t xml:space="preserve">14</w:t>
            </w:r>
          </w:p>
        </w:tc>
        <w:tc>
          <w:tcPr/>
          <w:p>
            <w:pPr>
              <w:pStyle w:val="Compact"/>
            </w:pPr>
            <w:r>
              <w:t xml:space="preserve">Stem cell</w:t>
            </w:r>
          </w:p>
        </w:tc>
        <w:tc>
          <w:tcPr/>
          <w:p>
            <w:pPr>
              <w:pStyle w:val="Compact"/>
            </w:pPr>
            <w:r>
              <w:t xml:space="preserve">34</w:t>
            </w:r>
          </w:p>
        </w:tc>
        <w:tc>
          <w:tcPr/>
          <w:p>
            <w:pPr>
              <w:pStyle w:val="Compact"/>
            </w:pPr>
            <w:r>
              <w:t xml:space="preserve">0</w:t>
            </w:r>
          </w:p>
        </w:tc>
        <w:tc>
          <w:tcPr/>
          <w:p>
            <w:pPr>
              <w:pStyle w:val="Compact"/>
            </w:pPr>
            <w:r>
              <w:t xml:space="preserve">0</w:t>
            </w:r>
          </w:p>
        </w:tc>
        <w:tc>
          <w:tcPr/>
          <w:p>
            <w:pPr>
              <w:pStyle w:val="Compact"/>
            </w:pPr>
            <w:r>
              <w:t xml:space="preserve">1.68</w:t>
            </w:r>
          </w:p>
        </w:tc>
        <w:tc>
          <w:tcPr/>
          <w:p>
            <w:pPr>
              <w:pStyle w:val="Compact"/>
            </w:pPr>
            <w:r>
              <w:t xml:space="preserve">Low directness / speculative</w:t>
            </w:r>
          </w:p>
        </w:tc>
      </w:tr>
    </w:tbl>
    <w:p>
      <w:pPr>
        <w:pStyle w:val="BodyText"/>
      </w:pPr>
      <w:r>
        <w:rPr>
          <w:i/>
          <w:iCs/>
        </w:rPr>
        <w:t xml:space="preserve">Note. Intervention classes are grouped search categories (full keyword groupings in Supplementary Table S2). Two labels denote composite categories:</w:t>
      </w:r>
      <w:r>
        <w:rPr>
          <w:i/>
          <w:iCs/>
        </w:rPr>
        <w:t xml:space="preserve"> </w:t>
      </w:r>
      <w:r>
        <w:rPr>
          <w:i/>
          <w:iCs/>
        </w:rPr>
        <w:t xml:space="preserve">“Dietary supplements”</w:t>
      </w:r>
      <w:r>
        <w:rPr>
          <w:i/>
          <w:iCs/>
        </w:rPr>
        <w:t xml:space="preserve"> </w:t>
      </w:r>
      <w:r>
        <w:rPr>
          <w:i/>
          <w:iCs/>
        </w:rPr>
        <w:t xml:space="preserve">comprises resveratrol, curcumin, omega-3 fatty acids, and vitamin D;</w:t>
      </w:r>
      <w:r>
        <w:rPr>
          <w:i/>
          <w:iCs/>
        </w:rPr>
        <w:t xml:space="preserve"> </w:t>
      </w:r>
      <w:r>
        <w:rPr>
          <w:i/>
          <w:iCs/>
        </w:rPr>
        <w:t xml:space="preserve">“Plasma/telomerase”</w:t>
      </w:r>
      <w:r>
        <w:rPr>
          <w:i/>
          <w:iCs/>
        </w:rPr>
        <w:t xml:space="preserve"> </w:t>
      </w:r>
      <w:r>
        <w:rPr>
          <w:i/>
          <w:iCs/>
        </w:rPr>
        <w:t xml:space="preserve">comprises blood- and plasma-based rejuvenation approaches (heterochronic parabiosis, young-plasma transfer, plasma dilution) and telomerase activation. The single verified human record in the plasma/telomerase class is a heterochronic-parabiosis study (ref 40, Supplementary Table S1); the high promotional-language rate (0.41) and absence of human trials underlie its low credibility score.</w:t>
      </w:r>
    </w:p>
    <w:p>
      <w:pPr>
        <w:pStyle w:val="BodyText"/>
      </w:pPr>
      <w:r>
        <w:rPr>
          <w:b/>
          <w:bCs/>
        </w:rPr>
        <w:t xml:space="preserve">Table 2. Representative priority human evidence with effect estimates extracted from available open text (n=14 records; refs 1–14).</w:t>
      </w:r>
      <w:r>
        <w:t xml:space="preserve"> </w:t>
      </w:r>
      <w:r>
        <w:t xml:space="preserve">Effect information is retained as extracted; estimates are not pooled because outcome metrics are heterogeneous. Records labelled</w:t>
      </w:r>
      <w:r>
        <w:t xml:space="preserve"> </w:t>
      </w:r>
      <w:r>
        <w:t xml:space="preserve">“full text not retrieved”</w:t>
      </w:r>
      <w:r>
        <w:t xml:space="preserve"> </w:t>
      </w:r>
      <w:r>
        <w:t xml:space="preserve">were verified at abstract level.</w:t>
      </w:r>
    </w:p>
    <w:tbl>
      <w:tblPr>
        <w:tblStyle w:val="Table"/>
        <w:tblW w:type="pct" w:w="5000"/>
        <w:tblLayout w:type="fixed"/>
        <w:tblLook w:firstRow="1" w:lastRow="0" w:firstColumn="0" w:lastColumn="0" w:noHBand="0" w:noVBand="0" w:val="0020"/>
      </w:tblPr>
      <w:tblGrid>
        <w:gridCol w:w="495"/>
        <w:gridCol w:w="2079"/>
        <w:gridCol w:w="1386"/>
        <w:gridCol w:w="1584"/>
        <w:gridCol w:w="2376"/>
      </w:tblGrid>
      <w:tr>
        <w:trPr>
          <w:tblHeader w:val="on"/>
        </w:trPr>
        <w:tc>
          <w:tcPr/>
          <w:p>
            <w:pPr>
              <w:pStyle w:val="Compact"/>
            </w:pPr>
            <w:r>
              <w:t xml:space="preserve">Ref</w:t>
            </w:r>
          </w:p>
        </w:tc>
        <w:tc>
          <w:tcPr/>
          <w:p>
            <w:pPr>
              <w:pStyle w:val="Compact"/>
            </w:pPr>
            <w:r>
              <w:t xml:space="preserve">Study (abbreviated)</w:t>
            </w:r>
          </w:p>
        </w:tc>
        <w:tc>
          <w:tcPr/>
          <w:p>
            <w:pPr>
              <w:pStyle w:val="Compact"/>
            </w:pPr>
            <w:r>
              <w:t xml:space="preserve">Intervention</w:t>
            </w:r>
          </w:p>
        </w:tc>
        <w:tc>
          <w:tcPr/>
          <w:p>
            <w:pPr>
              <w:pStyle w:val="Compact"/>
            </w:pPr>
            <w:r>
              <w:t xml:space="preserve">Outcome domain</w:t>
            </w:r>
          </w:p>
        </w:tc>
        <w:tc>
          <w:tcPr/>
          <w:p>
            <w:pPr>
              <w:pStyle w:val="Compact"/>
            </w:pPr>
            <w:r>
              <w:t xml:space="preserve">Key extracted estimate</w:t>
            </w:r>
          </w:p>
        </w:tc>
      </w:tr>
      <w:tr>
        <w:tc>
          <w:tcPr/>
          <w:p>
            <w:pPr>
              <w:pStyle w:val="Compact"/>
            </w:pPr>
            <w:r>
              <w:t xml:space="preserve">1</w:t>
            </w:r>
          </w:p>
        </w:tc>
        <w:tc>
          <w:tcPr/>
          <w:p>
            <w:pPr>
              <w:pStyle w:val="Compact"/>
            </w:pPr>
            <w:r>
              <w:t xml:space="preserve">SINGER multidomain RCT — baseline characteristics</w:t>
            </w:r>
          </w:p>
        </w:tc>
        <w:tc>
          <w:tcPr/>
          <w:p>
            <w:pPr>
              <w:pStyle w:val="Compact"/>
            </w:pPr>
            <w:r>
              <w:t xml:space="preserve">Lifestyle bundle</w:t>
            </w:r>
          </w:p>
        </w:tc>
        <w:tc>
          <w:tcPr/>
          <w:p>
            <w:pPr>
              <w:pStyle w:val="Compact"/>
            </w:pPr>
            <w:r>
              <w:t xml:space="preserve">Healthspan / function</w:t>
            </w:r>
          </w:p>
        </w:tc>
        <w:tc>
          <w:tcPr/>
          <w:p>
            <w:pPr>
              <w:pStyle w:val="Compact"/>
            </w:pPr>
            <w:r>
              <w:t xml:space="preserve">Baseline-characteristics paper (n=1212 randomised; mean age 68.7 yr). No primary outcome effect data reported yet.</w:t>
            </w:r>
          </w:p>
        </w:tc>
      </w:tr>
      <w:tr>
        <w:tc>
          <w:tcPr/>
          <w:p>
            <w:pPr>
              <w:pStyle w:val="Compact"/>
            </w:pPr>
            <w:r>
              <w:t xml:space="preserve">2</w:t>
            </w:r>
          </w:p>
        </w:tc>
        <w:tc>
          <w:tcPr/>
          <w:p>
            <w:pPr>
              <w:pStyle w:val="Compact"/>
            </w:pPr>
            <w:r>
              <w:t xml:space="preserve">Multimodal exercise in frail MS patients (6-week RCT)</w:t>
            </w:r>
          </w:p>
        </w:tc>
        <w:tc>
          <w:tcPr/>
          <w:p>
            <w:pPr>
              <w:pStyle w:val="Compact"/>
            </w:pPr>
            <w:r>
              <w:t xml:space="preserve">Exercise</w:t>
            </w:r>
          </w:p>
        </w:tc>
        <w:tc>
          <w:tcPr/>
          <w:p>
            <w:pPr>
              <w:pStyle w:val="Compact"/>
            </w:pPr>
            <w:r>
              <w:t xml:space="preserve">Healthspan / function</w:t>
            </w:r>
          </w:p>
        </w:tc>
        <w:tc>
          <w:tcPr/>
          <w:p>
            <w:pPr>
              <w:pStyle w:val="Compact"/>
            </w:pPr>
            <w:r>
              <w:t xml:space="preserve">n=16 (10 exercise, 6 control). Frailty Index ΔEFIP −0.07 (95% CI −0.14 to −0.00). Mental-health QoL +21.24 (95% CI 7.32 to 35.16). Adherence 97.2%.</w:t>
            </w:r>
          </w:p>
        </w:tc>
      </w:tr>
      <w:tr>
        <w:tc>
          <w:tcPr/>
          <w:p>
            <w:pPr>
              <w:pStyle w:val="Compact"/>
            </w:pPr>
            <w:r>
              <w:t xml:space="preserve">3</w:t>
            </w:r>
          </w:p>
        </w:tc>
        <w:tc>
          <w:tcPr/>
          <w:p>
            <w:pPr>
              <w:pStyle w:val="Compact"/>
            </w:pPr>
            <w:r>
              <w:t xml:space="preserve">PROMOTe microbiome RCT — muscle function and cognition</w:t>
            </w:r>
          </w:p>
        </w:tc>
        <w:tc>
          <w:tcPr/>
          <w:p>
            <w:pPr>
              <w:pStyle w:val="Compact"/>
            </w:pPr>
            <w:r>
              <w:t xml:space="preserve">Microbiome</w:t>
            </w:r>
          </w:p>
        </w:tc>
        <w:tc>
          <w:tcPr/>
          <w:p>
            <w:pPr>
              <w:pStyle w:val="Compact"/>
            </w:pPr>
            <w:r>
              <w:t xml:space="preserve">Healthspan / function</w:t>
            </w:r>
          </w:p>
        </w:tc>
        <w:tc>
          <w:tcPr/>
          <w:p>
            <w:pPr>
              <w:pStyle w:val="Compact"/>
            </w:pPr>
            <w:r>
              <w:t xml:space="preserve">Chair rise (primary): β=0.579 (95% CI −1.08 to 2.24; p=0.494; NS). Cognition: β=−0.482 (95% CI −0.813 to −0.141; p=0.014; favours prebiotic).</w:t>
            </w:r>
          </w:p>
        </w:tc>
      </w:tr>
      <w:tr>
        <w:tc>
          <w:tcPr/>
          <w:p>
            <w:pPr>
              <w:pStyle w:val="Compact"/>
            </w:pPr>
            <w:r>
              <w:t xml:space="preserve">4</w:t>
            </w:r>
          </w:p>
        </w:tc>
        <w:tc>
          <w:tcPr/>
          <w:p>
            <w:pPr>
              <w:pStyle w:val="Compact"/>
            </w:pPr>
            <w:r>
              <w:t xml:space="preserve">Ring Fit exergame RCT for frailty/sarcopenia</w:t>
            </w:r>
          </w:p>
        </w:tc>
        <w:tc>
          <w:tcPr/>
          <w:p>
            <w:pPr>
              <w:pStyle w:val="Compact"/>
            </w:pPr>
            <w:r>
              <w:t xml:space="preserve">Exercise</w:t>
            </w:r>
          </w:p>
        </w:tc>
        <w:tc>
          <w:tcPr/>
          <w:p>
            <w:pPr>
              <w:pStyle w:val="Compact"/>
            </w:pPr>
            <w:r>
              <w:t xml:space="preserve">Healthspan / function</w:t>
            </w:r>
          </w:p>
        </w:tc>
        <w:tc>
          <w:tcPr/>
          <w:p>
            <w:pPr>
              <w:pStyle w:val="Compact"/>
            </w:pPr>
            <w:r>
              <w:t xml:space="preserve">n=60 randomised (55 completed). Significant group-by-time improvements in handgrip strength and most frailty/sarcopenia outcomes.</w:t>
            </w:r>
          </w:p>
        </w:tc>
      </w:tr>
      <w:tr>
        <w:tc>
          <w:tcPr/>
          <w:p>
            <w:pPr>
              <w:pStyle w:val="Compact"/>
            </w:pPr>
            <w:r>
              <w:t xml:space="preserve">5</w:t>
            </w:r>
          </w:p>
        </w:tc>
        <w:tc>
          <w:tcPr/>
          <w:p>
            <w:pPr>
              <w:pStyle w:val="Compact"/>
            </w:pPr>
            <w:r>
              <w:t xml:space="preserve">Resistance exercise in cognitive frailty RCT</w:t>
            </w:r>
          </w:p>
        </w:tc>
        <w:tc>
          <w:tcPr/>
          <w:p>
            <w:pPr>
              <w:pStyle w:val="Compact"/>
            </w:pPr>
            <w:r>
              <w:t xml:space="preserve">Exercise</w:t>
            </w:r>
          </w:p>
        </w:tc>
        <w:tc>
          <w:tcPr/>
          <w:p>
            <w:pPr>
              <w:pStyle w:val="Compact"/>
            </w:pPr>
            <w:r>
              <w:t xml:space="preserve">Healthspan / function</w:t>
            </w:r>
          </w:p>
        </w:tc>
        <w:tc>
          <w:tcPr/>
          <w:p>
            <w:pPr>
              <w:pStyle w:val="Compact"/>
            </w:pPr>
            <w:r>
              <w:t xml:space="preserve">Verified at abstract level; reported improvements in cognitive and physical-performance outcomes.</w:t>
            </w:r>
          </w:p>
        </w:tc>
      </w:tr>
      <w:tr>
        <w:tc>
          <w:tcPr/>
          <w:p>
            <w:pPr>
              <w:pStyle w:val="Compact"/>
            </w:pPr>
            <w:r>
              <w:t xml:space="preserve">6</w:t>
            </w:r>
          </w:p>
        </w:tc>
        <w:tc>
          <w:tcPr/>
          <w:p>
            <w:pPr>
              <w:pStyle w:val="Compact"/>
            </w:pPr>
            <w:r>
              <w:t xml:space="preserve">Physical activity and deficit frailty: 5-cohort mortality study</w:t>
            </w:r>
          </w:p>
        </w:tc>
        <w:tc>
          <w:tcPr/>
          <w:p>
            <w:pPr>
              <w:pStyle w:val="Compact"/>
            </w:pPr>
            <w:r>
              <w:t xml:space="preserve">Exercise</w:t>
            </w:r>
          </w:p>
        </w:tc>
        <w:tc>
          <w:tcPr/>
          <w:p>
            <w:pPr>
              <w:pStyle w:val="Compact"/>
            </w:pPr>
            <w:r>
              <w:t xml:space="preserve">Hard ageing relevance</w:t>
            </w:r>
          </w:p>
        </w:tc>
        <w:tc>
          <w:tcPr/>
          <w:p>
            <w:pPr>
              <w:pStyle w:val="Compact"/>
            </w:pPr>
            <w:r>
              <w:t xml:space="preserve">5 cohorts (SHARE n=56,555; CHARLS n=12,271 + 3 others). Physical activity modified the frailty–mortality association; hazard ratios reported in source study.</w:t>
            </w:r>
          </w:p>
        </w:tc>
      </w:tr>
      <w:tr>
        <w:tc>
          <w:tcPr/>
          <w:p>
            <w:pPr>
              <w:pStyle w:val="Compact"/>
            </w:pPr>
            <w:r>
              <w:t xml:space="preserve">7</w:t>
            </w:r>
          </w:p>
        </w:tc>
        <w:tc>
          <w:tcPr/>
          <w:p>
            <w:pPr>
              <w:pStyle w:val="Compact"/>
            </w:pPr>
            <w:r>
              <w:t xml:space="preserve">Fasting-mimicking diet and biological-age markers (RCT)</w:t>
            </w:r>
          </w:p>
        </w:tc>
        <w:tc>
          <w:tcPr/>
          <w:p>
            <w:pPr>
              <w:pStyle w:val="Compact"/>
            </w:pPr>
            <w:r>
              <w:t xml:space="preserve">Fasting</w:t>
            </w:r>
          </w:p>
        </w:tc>
        <w:tc>
          <w:tcPr/>
          <w:p>
            <w:pPr>
              <w:pStyle w:val="Compact"/>
            </w:pPr>
            <w:r>
              <w:t xml:space="preserve">Biological-age biomarker</w:t>
            </w:r>
          </w:p>
        </w:tc>
        <w:tc>
          <w:tcPr/>
          <w:p>
            <w:pPr>
              <w:pStyle w:val="Compact"/>
            </w:pPr>
            <w:r>
              <w:t xml:space="preserve">3 FMD cycles: median biological-age reduction of 2.5 yr (independent of weight loss). Hepatic and disease-risk markers improved.</w:t>
            </w:r>
          </w:p>
        </w:tc>
      </w:tr>
      <w:tr>
        <w:tc>
          <w:tcPr/>
          <w:p>
            <w:pPr>
              <w:pStyle w:val="Compact"/>
            </w:pPr>
            <w:r>
              <w:t xml:space="preserve">8</w:t>
            </w:r>
          </w:p>
        </w:tc>
        <w:tc>
          <w:tcPr/>
          <w:p>
            <w:pPr>
              <w:pStyle w:val="Compact"/>
            </w:pPr>
            <w:r>
              <w:t xml:space="preserve">Topical rapamycin and skin senescence markers (RCT)</w:t>
            </w:r>
          </w:p>
        </w:tc>
        <w:tc>
          <w:tcPr/>
          <w:p>
            <w:pPr>
              <w:pStyle w:val="Compact"/>
            </w:pPr>
            <w:r>
              <w:t xml:space="preserve">Rapamycin/mTOR</w:t>
            </w:r>
          </w:p>
        </w:tc>
        <w:tc>
          <w:tcPr/>
          <w:p>
            <w:pPr>
              <w:pStyle w:val="Compact"/>
            </w:pPr>
            <w:r>
              <w:t xml:space="preserve">Biological-age biomarker</w:t>
            </w:r>
          </w:p>
        </w:tc>
        <w:tc>
          <w:tcPr/>
          <w:p>
            <w:pPr>
              <w:pStyle w:val="Compact"/>
            </w:pPr>
            <w:r>
              <w:t xml:space="preserve">p16INK4A reduction (p=0.008); collagen VII increase (significant). Skin senescence markers reduced.</w:t>
            </w:r>
          </w:p>
        </w:tc>
      </w:tr>
      <w:tr>
        <w:tc>
          <w:tcPr/>
          <w:p>
            <w:pPr>
              <w:pStyle w:val="Compact"/>
            </w:pPr>
            <w:r>
              <w:t xml:space="preserve">9</w:t>
            </w:r>
          </w:p>
        </w:tc>
        <w:tc>
          <w:tcPr/>
          <w:p>
            <w:pPr>
              <w:pStyle w:val="Compact"/>
            </w:pPr>
            <w:r>
              <w:t xml:space="preserve">PEARL rapamycin trial — 1-year healthspan metrics</w:t>
            </w:r>
          </w:p>
        </w:tc>
        <w:tc>
          <w:tcPr/>
          <w:p>
            <w:pPr>
              <w:pStyle w:val="Compact"/>
            </w:pPr>
            <w:r>
              <w:t xml:space="preserve">Rapamycin/mTOR</w:t>
            </w:r>
          </w:p>
        </w:tc>
        <w:tc>
          <w:tcPr/>
          <w:p>
            <w:pPr>
              <w:pStyle w:val="Compact"/>
            </w:pPr>
            <w:r>
              <w:t xml:space="preserve">Surrogate / indirect</w:t>
            </w:r>
          </w:p>
        </w:tc>
        <w:tc>
          <w:tcPr/>
          <w:p>
            <w:pPr>
              <w:pStyle w:val="Compact"/>
            </w:pPr>
            <w:r>
              <w:t xml:space="preserve">Lean tissue mass, pain, and general health improved. Visceral adiposity ηp²=0.001, p=0.942 (NS). Blood biomarkers within normal ranges.</w:t>
            </w:r>
          </w:p>
        </w:tc>
      </w:tr>
      <w:tr>
        <w:tc>
          <w:tcPr/>
          <w:p>
            <w:pPr>
              <w:pStyle w:val="Compact"/>
            </w:pPr>
            <w:r>
              <w:t xml:space="preserve">10</w:t>
            </w:r>
          </w:p>
        </w:tc>
        <w:tc>
          <w:tcPr/>
          <w:p>
            <w:pPr>
              <w:pStyle w:val="Compact"/>
            </w:pPr>
            <w:r>
              <w:t xml:space="preserve">FMD: multi-system regeneration and healthspan (2015 RCT)</w:t>
            </w:r>
          </w:p>
        </w:tc>
        <w:tc>
          <w:tcPr/>
          <w:p>
            <w:pPr>
              <w:pStyle w:val="Compact"/>
            </w:pPr>
            <w:r>
              <w:t xml:space="preserve">Fasting</w:t>
            </w:r>
          </w:p>
        </w:tc>
        <w:tc>
          <w:tcPr/>
          <w:p>
            <w:pPr>
              <w:pStyle w:val="Compact"/>
            </w:pPr>
            <w:r>
              <w:t xml:space="preserve">Surrogate / indirect</w:t>
            </w:r>
          </w:p>
        </w:tc>
        <w:tc>
          <w:tcPr/>
          <w:p>
            <w:pPr>
              <w:pStyle w:val="Compact"/>
            </w:pPr>
            <w:r>
              <w:t xml:space="preserve">Reported multi-system regeneration and healthspan benefits; primary numeric outcomes verified at abstract level.</w:t>
            </w:r>
          </w:p>
        </w:tc>
      </w:tr>
      <w:tr>
        <w:tc>
          <w:tcPr/>
          <w:p>
            <w:pPr>
              <w:pStyle w:val="Compact"/>
            </w:pPr>
            <w:r>
              <w:t xml:space="preserve">11</w:t>
            </w:r>
          </w:p>
        </w:tc>
        <w:tc>
          <w:tcPr/>
          <w:p>
            <w:pPr>
              <w:pStyle w:val="Compact"/>
            </w:pPr>
            <w:r>
              <w:t xml:space="preserve">Creatine + resistance training in frail older subjects</w:t>
            </w:r>
          </w:p>
        </w:tc>
        <w:tc>
          <w:tcPr/>
          <w:p>
            <w:pPr>
              <w:pStyle w:val="Compact"/>
            </w:pPr>
            <w:r>
              <w:t xml:space="preserve">Exercise</w:t>
            </w:r>
          </w:p>
        </w:tc>
        <w:tc>
          <w:tcPr/>
          <w:p>
            <w:pPr>
              <w:pStyle w:val="Compact"/>
            </w:pPr>
            <w:r>
              <w:t xml:space="preserve">Healthspan / function</w:t>
            </w:r>
          </w:p>
        </w:tc>
        <w:tc>
          <w:tcPr/>
          <w:p>
            <w:pPr>
              <w:pStyle w:val="Compact"/>
            </w:pPr>
            <w:r>
              <w:t xml:space="preserve">Verified at abstract level; co-supplementation with creatine and protein during resistance training in frailty.</w:t>
            </w:r>
          </w:p>
        </w:tc>
      </w:tr>
      <w:tr>
        <w:tc>
          <w:tcPr/>
          <w:p>
            <w:pPr>
              <w:pStyle w:val="Compact"/>
            </w:pPr>
            <w:r>
              <w:t xml:space="preserve">12</w:t>
            </w:r>
          </w:p>
        </w:tc>
        <w:tc>
          <w:tcPr/>
          <w:p>
            <w:pPr>
              <w:pStyle w:val="Compact"/>
            </w:pPr>
            <w:r>
              <w:t xml:space="preserve">HALLO study: caloric restriction and TRE in older adults</w:t>
            </w:r>
          </w:p>
        </w:tc>
        <w:tc>
          <w:tcPr/>
          <w:p>
            <w:pPr>
              <w:pStyle w:val="Compact"/>
            </w:pPr>
            <w:r>
              <w:t xml:space="preserve">Caloric restriction</w:t>
            </w:r>
          </w:p>
        </w:tc>
        <w:tc>
          <w:tcPr/>
          <w:p>
            <w:pPr>
              <w:pStyle w:val="Compact"/>
            </w:pPr>
            <w:r>
              <w:t xml:space="preserve">Surrogate / indirect</w:t>
            </w:r>
          </w:p>
        </w:tc>
        <w:tc>
          <w:tcPr/>
          <w:p>
            <w:pPr>
              <w:pStyle w:val="Compact"/>
            </w:pPr>
            <w:r>
              <w:t xml:space="preserve">3-arm feasibility RCT (CR in-person; CR remote; TRE). Primary outcomes feasibility and adherence.</w:t>
            </w:r>
          </w:p>
        </w:tc>
      </w:tr>
      <w:tr>
        <w:tc>
          <w:tcPr/>
          <w:p>
            <w:pPr>
              <w:pStyle w:val="Compact"/>
            </w:pPr>
            <w:r>
              <w:t xml:space="preserve">13</w:t>
            </w:r>
          </w:p>
        </w:tc>
        <w:tc>
          <w:tcPr/>
          <w:p>
            <w:pPr>
              <w:pStyle w:val="Compact"/>
            </w:pPr>
            <w:r>
              <w:t xml:space="preserve">Multidomain lifestyle intervention and epigenetic ageing (RCT)</w:t>
            </w:r>
          </w:p>
        </w:tc>
        <w:tc>
          <w:tcPr/>
          <w:p>
            <w:pPr>
              <w:pStyle w:val="Compact"/>
            </w:pPr>
            <w:r>
              <w:t xml:space="preserve">Lifestyle bundle</w:t>
            </w:r>
          </w:p>
        </w:tc>
        <w:tc>
          <w:tcPr/>
          <w:p>
            <w:pPr>
              <w:pStyle w:val="Compact"/>
            </w:pPr>
            <w:r>
              <w:t xml:space="preserve">Surrogate / indirect</w:t>
            </w:r>
          </w:p>
        </w:tc>
        <w:tc>
          <w:tcPr/>
          <w:p>
            <w:pPr>
              <w:pStyle w:val="Compact"/>
            </w:pPr>
            <w:r>
              <w:t xml:space="preserve">n=47 frail adults (mean age 80.2 yr, SD 3.1). Statistically significant improvements in functional trajectories and epigenetic-ageing markers vs control.</w:t>
            </w:r>
          </w:p>
        </w:tc>
      </w:tr>
      <w:tr>
        <w:tc>
          <w:tcPr/>
          <w:p>
            <w:pPr>
              <w:pStyle w:val="Compact"/>
            </w:pPr>
            <w:r>
              <w:t xml:space="preserve">14</w:t>
            </w:r>
          </w:p>
        </w:tc>
        <w:tc>
          <w:tcPr/>
          <w:p>
            <w:pPr>
              <w:pStyle w:val="Compact"/>
            </w:pPr>
            <w:r>
              <w:t xml:space="preserve">TROFFi fisetin phase II RCT design (breast cancer survivors)</w:t>
            </w:r>
          </w:p>
        </w:tc>
        <w:tc>
          <w:tcPr/>
          <w:p>
            <w:pPr>
              <w:pStyle w:val="Compact"/>
            </w:pPr>
            <w:r>
              <w:t xml:space="preserve">Senolytics</w:t>
            </w:r>
          </w:p>
        </w:tc>
        <w:tc>
          <w:tcPr/>
          <w:p>
            <w:pPr>
              <w:pStyle w:val="Compact"/>
            </w:pPr>
            <w:r>
              <w:t xml:space="preserve">Surrogate / indirect</w:t>
            </w:r>
          </w:p>
        </w:tc>
        <w:tc>
          <w:tcPr/>
          <w:p>
            <w:pPr>
              <w:pStyle w:val="Compact"/>
            </w:pPr>
            <w:r>
              <w:t xml:space="preserve">Trial-design / eligibility paper (TROFFi phase II fisetin RCT). No outcome effect data available.</w:t>
            </w:r>
          </w:p>
        </w:tc>
      </w:tr>
    </w:tbl>
    <w:p>
      <w:pPr>
        <w:pStyle w:val="BodyText"/>
      </w:pPr>
      <w:r>
        <w:rPr>
          <w:b/>
          <w:bCs/>
        </w:rPr>
        <w:t xml:space="preserve">Table 3. Structured risk-of-bias appraisal of priority human records (n=14; refs 1–14).</w:t>
      </w:r>
      <w:r>
        <w:t xml:space="preserve"> </w:t>
      </w:r>
      <w:r>
        <w:t xml:space="preserve">Domain judgements follow the signalling logic of RoB 2 (randomised trials) and ROBINS-I (observational studies), based on available full-text or abstract content.</w:t>
      </w:r>
    </w:p>
    <w:tbl>
      <w:tblPr>
        <w:tblStyle w:val="Table"/>
        <w:tblW w:type="pct" w:w="5000"/>
        <w:tblLayout w:type="fixed"/>
        <w:tblLook w:firstRow="1" w:lastRow="0" w:firstColumn="0" w:lastColumn="0" w:noHBand="0" w:noVBand="0" w:val="0020"/>
      </w:tblPr>
      <w:tblGrid>
        <w:gridCol w:w="455"/>
        <w:gridCol w:w="1911"/>
        <w:gridCol w:w="1365"/>
        <w:gridCol w:w="910"/>
        <w:gridCol w:w="1274"/>
        <w:gridCol w:w="1183"/>
        <w:gridCol w:w="819"/>
      </w:tblGrid>
      <w:tr>
        <w:trPr>
          <w:tblHeader w:val="on"/>
        </w:trPr>
        <w:tc>
          <w:tcPr/>
          <w:p>
            <w:pPr>
              <w:pStyle w:val="Compact"/>
            </w:pPr>
            <w:r>
              <w:t xml:space="preserve">Ref</w:t>
            </w:r>
          </w:p>
        </w:tc>
        <w:tc>
          <w:tcPr/>
          <w:p>
            <w:pPr>
              <w:pStyle w:val="Compact"/>
            </w:pPr>
            <w:r>
              <w:t xml:space="preserve">Study (abbreviated)</w:t>
            </w:r>
          </w:p>
        </w:tc>
        <w:tc>
          <w:tcPr/>
          <w:p>
            <w:pPr>
              <w:pStyle w:val="Compact"/>
            </w:pPr>
            <w:r>
              <w:t xml:space="preserve">Randomisation</w:t>
            </w:r>
          </w:p>
        </w:tc>
        <w:tc>
          <w:tcPr/>
          <w:p>
            <w:pPr>
              <w:pStyle w:val="Compact"/>
            </w:pPr>
            <w:r>
              <w:t xml:space="preserve">Blinding</w:t>
            </w:r>
          </w:p>
        </w:tc>
        <w:tc>
          <w:tcPr/>
          <w:p>
            <w:pPr>
              <w:pStyle w:val="Compact"/>
            </w:pPr>
            <w:r>
              <w:t xml:space="preserve">Missing data</w:t>
            </w:r>
          </w:p>
        </w:tc>
        <w:tc>
          <w:tcPr/>
          <w:p>
            <w:pPr>
              <w:pStyle w:val="Compact"/>
            </w:pPr>
            <w:r>
              <w:t xml:space="preserve">Confounding</w:t>
            </w:r>
          </w:p>
        </w:tc>
        <w:tc>
          <w:tcPr/>
          <w:p>
            <w:pPr>
              <w:pStyle w:val="Compact"/>
            </w:pPr>
            <w:r>
              <w:t xml:space="preserve">Overall</w:t>
            </w:r>
          </w:p>
        </w:tc>
      </w:tr>
      <w:tr>
        <w:tc>
          <w:tcPr/>
          <w:p>
            <w:pPr>
              <w:pStyle w:val="Compact"/>
            </w:pPr>
            <w:r>
              <w:t xml:space="preserve">1</w:t>
            </w:r>
          </w:p>
        </w:tc>
        <w:tc>
          <w:tcPr/>
          <w:p>
            <w:pPr>
              <w:pStyle w:val="Compact"/>
            </w:pPr>
            <w:r>
              <w:t xml:space="preserve">SINGER multidomain RCT — baseline</w:t>
            </w:r>
          </w:p>
        </w:tc>
        <w:tc>
          <w:tcPr/>
          <w:p>
            <w:pPr>
              <w:pStyle w:val="Compact"/>
            </w:pPr>
            <w:r>
              <w:t xml:space="preserve">Low</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2</w:t>
            </w:r>
          </w:p>
        </w:tc>
        <w:tc>
          <w:tcPr/>
          <w:p>
            <w:pPr>
              <w:pStyle w:val="Compact"/>
            </w:pPr>
            <w:r>
              <w:t xml:space="preserve">Multimodal exercise in frail MS patients</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r>
        <w:tc>
          <w:tcPr/>
          <w:p>
            <w:pPr>
              <w:pStyle w:val="Compact"/>
            </w:pPr>
            <w:r>
              <w:t xml:space="preserve">3</w:t>
            </w:r>
          </w:p>
        </w:tc>
        <w:tc>
          <w:tcPr/>
          <w:p>
            <w:pPr>
              <w:pStyle w:val="Compact"/>
            </w:pPr>
            <w:r>
              <w:t xml:space="preserve">PROMOTe microbiome RCT</w:t>
            </w:r>
          </w:p>
        </w:tc>
        <w:tc>
          <w:tcPr/>
          <w:p>
            <w:pPr>
              <w:pStyle w:val="Compact"/>
            </w:pPr>
            <w:r>
              <w:t xml:space="preserve">Low</w:t>
            </w:r>
          </w:p>
        </w:tc>
        <w:tc>
          <w:tcPr/>
          <w:p>
            <w:pPr>
              <w:pStyle w:val="Compact"/>
            </w:pPr>
            <w:r>
              <w:t xml:space="preserve">Low</w:t>
            </w:r>
          </w:p>
        </w:tc>
        <w:tc>
          <w:tcPr/>
          <w:p>
            <w:pPr>
              <w:pStyle w:val="Compact"/>
            </w:pPr>
            <w:r>
              <w:t xml:space="preserve">Unclear</w:t>
            </w:r>
          </w:p>
        </w:tc>
        <w:tc>
          <w:tcPr/>
          <w:p>
            <w:pPr>
              <w:pStyle w:val="Compact"/>
            </w:pPr>
            <w:r>
              <w:t xml:space="preserve">Low (RCT design)</w:t>
            </w:r>
          </w:p>
        </w:tc>
        <w:tc>
          <w:tcPr/>
          <w:p>
            <w:pPr>
              <w:pStyle w:val="Compact"/>
            </w:pPr>
            <w:r>
              <w:t xml:space="preserve">Low–some concern</w:t>
            </w:r>
          </w:p>
        </w:tc>
      </w:tr>
      <w:tr>
        <w:tc>
          <w:tcPr/>
          <w:p>
            <w:pPr>
              <w:pStyle w:val="Compact"/>
            </w:pPr>
            <w:r>
              <w:t xml:space="preserve">4</w:t>
            </w:r>
          </w:p>
        </w:tc>
        <w:tc>
          <w:tcPr/>
          <w:p>
            <w:pPr>
              <w:pStyle w:val="Compact"/>
            </w:pPr>
            <w:r>
              <w:t xml:space="preserve">Ring Fit exergame RCT</w:t>
            </w:r>
          </w:p>
        </w:tc>
        <w:tc>
          <w:tcPr/>
          <w:p>
            <w:pPr>
              <w:pStyle w:val="Compact"/>
            </w:pPr>
            <w:r>
              <w:t xml:space="preserve">Low</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5</w:t>
            </w:r>
          </w:p>
        </w:tc>
        <w:tc>
          <w:tcPr/>
          <w:p>
            <w:pPr>
              <w:pStyle w:val="Compact"/>
            </w:pPr>
            <w:r>
              <w:t xml:space="preserve">Resistance exercise in cognitive frailty RCT</w:t>
            </w:r>
          </w:p>
        </w:tc>
        <w:tc>
          <w:tcPr/>
          <w:p>
            <w:pPr>
              <w:pStyle w:val="Compact"/>
            </w:pPr>
            <w:r>
              <w:t xml:space="preserve">Some concern</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6</w:t>
            </w:r>
          </w:p>
        </w:tc>
        <w:tc>
          <w:tcPr/>
          <w:p>
            <w:pPr>
              <w:pStyle w:val="Compact"/>
            </w:pPr>
            <w:r>
              <w:t xml:space="preserve">Physical activity &amp; deficit frailty: 5-cohort study</w:t>
            </w:r>
          </w:p>
        </w:tc>
        <w:tc>
          <w:tcPr/>
          <w:p>
            <w:pPr>
              <w:pStyle w:val="Compact"/>
            </w:pPr>
            <w:r>
              <w:t xml:space="preserve">NA (cohort)</w:t>
            </w:r>
          </w:p>
        </w:tc>
        <w:tc>
          <w:tcPr/>
          <w:p>
            <w:pPr>
              <w:pStyle w:val="Compact"/>
            </w:pPr>
            <w:r>
              <w:t xml:space="preserve">NA / unclear</w:t>
            </w:r>
          </w:p>
        </w:tc>
        <w:tc>
          <w:tcPr/>
          <w:p>
            <w:pPr>
              <w:pStyle w:val="Compact"/>
            </w:pPr>
            <w:r>
              <w:t xml:space="preserve">Some concern</w:t>
            </w:r>
          </w:p>
        </w:tc>
        <w:tc>
          <w:tcPr/>
          <w:p>
            <w:pPr>
              <w:pStyle w:val="Compact"/>
            </w:pPr>
            <w:r>
              <w:t xml:space="preserve">Some (observational)</w:t>
            </w:r>
          </w:p>
        </w:tc>
        <w:tc>
          <w:tcPr/>
          <w:p>
            <w:pPr>
              <w:pStyle w:val="Compact"/>
            </w:pPr>
            <w:r>
              <w:t xml:space="preserve">Some concern</w:t>
            </w:r>
          </w:p>
        </w:tc>
      </w:tr>
      <w:tr>
        <w:tc>
          <w:tcPr/>
          <w:p>
            <w:pPr>
              <w:pStyle w:val="Compact"/>
            </w:pPr>
            <w:r>
              <w:t xml:space="preserve">7</w:t>
            </w:r>
          </w:p>
        </w:tc>
        <w:tc>
          <w:tcPr/>
          <w:p>
            <w:pPr>
              <w:pStyle w:val="Compact"/>
            </w:pPr>
            <w:r>
              <w:t xml:space="preserve">Fasting-mimicking diet and biological-age markers</w:t>
            </w:r>
          </w:p>
        </w:tc>
        <w:tc>
          <w:tcPr/>
          <w:p>
            <w:pPr>
              <w:pStyle w:val="Compact"/>
            </w:pPr>
            <w:r>
              <w:t xml:space="preserve">Low</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8</w:t>
            </w:r>
          </w:p>
        </w:tc>
        <w:tc>
          <w:tcPr/>
          <w:p>
            <w:pPr>
              <w:pStyle w:val="Compact"/>
            </w:pPr>
            <w:r>
              <w:t xml:space="preserve">Topical rapamycin and skin senescence markers</w:t>
            </w:r>
          </w:p>
        </w:tc>
        <w:tc>
          <w:tcPr/>
          <w:p>
            <w:pPr>
              <w:pStyle w:val="Compact"/>
            </w:pPr>
            <w:r>
              <w:t xml:space="preserve">Some concern</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Some concern</w:t>
            </w:r>
          </w:p>
        </w:tc>
      </w:tr>
      <w:tr>
        <w:tc>
          <w:tcPr/>
          <w:p>
            <w:pPr>
              <w:pStyle w:val="Compact"/>
            </w:pPr>
            <w:r>
              <w:t xml:space="preserve">9</w:t>
            </w:r>
          </w:p>
        </w:tc>
        <w:tc>
          <w:tcPr/>
          <w:p>
            <w:pPr>
              <w:pStyle w:val="Compact"/>
            </w:pPr>
            <w:r>
              <w:t xml:space="preserve">PEARL rapamycin trial</w:t>
            </w:r>
          </w:p>
        </w:tc>
        <w:tc>
          <w:tcPr/>
          <w:p>
            <w:pPr>
              <w:pStyle w:val="Compact"/>
            </w:pPr>
            <w:r>
              <w:t xml:space="preserve">Low</w:t>
            </w:r>
          </w:p>
        </w:tc>
        <w:tc>
          <w:tcPr/>
          <w:p>
            <w:pPr>
              <w:pStyle w:val="Compact"/>
            </w:pPr>
            <w:r>
              <w:t xml:space="preserve">Low</w:t>
            </w:r>
          </w:p>
        </w:tc>
        <w:tc>
          <w:tcPr/>
          <w:p>
            <w:pPr>
              <w:pStyle w:val="Compact"/>
            </w:pPr>
            <w:r>
              <w:t xml:space="preserve">Unclear</w:t>
            </w:r>
          </w:p>
        </w:tc>
        <w:tc>
          <w:tcPr/>
          <w:p>
            <w:pPr>
              <w:pStyle w:val="Compact"/>
            </w:pPr>
            <w:r>
              <w:t xml:space="preserve">Low (RCT design)</w:t>
            </w:r>
          </w:p>
        </w:tc>
        <w:tc>
          <w:tcPr/>
          <w:p>
            <w:pPr>
              <w:pStyle w:val="Compact"/>
            </w:pPr>
            <w:r>
              <w:t xml:space="preserve">Low–some concern</w:t>
            </w:r>
          </w:p>
        </w:tc>
      </w:tr>
      <w:tr>
        <w:tc>
          <w:tcPr/>
          <w:p>
            <w:pPr>
              <w:pStyle w:val="Compact"/>
            </w:pPr>
            <w:r>
              <w:t xml:space="preserve">10</w:t>
            </w:r>
          </w:p>
        </w:tc>
        <w:tc>
          <w:tcPr/>
          <w:p>
            <w:pPr>
              <w:pStyle w:val="Compact"/>
            </w:pPr>
            <w:r>
              <w:t xml:space="preserve">FMD: multi-system regeneration (2015)</w:t>
            </w:r>
          </w:p>
        </w:tc>
        <w:tc>
          <w:tcPr/>
          <w:p>
            <w:pPr>
              <w:pStyle w:val="Compact"/>
            </w:pPr>
            <w:r>
              <w:t xml:space="preserve">Some concern</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11</w:t>
            </w:r>
          </w:p>
        </w:tc>
        <w:tc>
          <w:tcPr/>
          <w:p>
            <w:pPr>
              <w:pStyle w:val="Compact"/>
            </w:pPr>
            <w:r>
              <w:t xml:space="preserve">Creatine + resistance training in frailty</w:t>
            </w:r>
          </w:p>
        </w:tc>
        <w:tc>
          <w:tcPr/>
          <w:p>
            <w:pPr>
              <w:pStyle w:val="Compact"/>
            </w:pPr>
            <w:r>
              <w:t xml:space="preserve">Unclear</w:t>
            </w:r>
          </w:p>
        </w:tc>
        <w:tc>
          <w:tcPr/>
          <w:p>
            <w:pPr>
              <w:pStyle w:val="Compact"/>
            </w:pPr>
            <w:r>
              <w:t xml:space="preserve">Unclear</w:t>
            </w:r>
          </w:p>
        </w:tc>
        <w:tc>
          <w:tcPr/>
          <w:p>
            <w:pPr>
              <w:pStyle w:val="Compact"/>
            </w:pPr>
            <w:r>
              <w:t xml:space="preserve">Unclear</w:t>
            </w:r>
          </w:p>
        </w:tc>
        <w:tc>
          <w:tcPr/>
          <w:p>
            <w:pPr>
              <w:pStyle w:val="Compact"/>
            </w:pPr>
            <w:r>
              <w:t xml:space="preserve">Serious/unclear</w:t>
            </w:r>
          </w:p>
        </w:tc>
        <w:tc>
          <w:tcPr/>
          <w:p>
            <w:pPr>
              <w:pStyle w:val="Compact"/>
            </w:pPr>
            <w:r>
              <w:t xml:space="preserve">Serious/unclear</w:t>
            </w:r>
          </w:p>
        </w:tc>
      </w:tr>
      <w:tr>
        <w:tc>
          <w:tcPr/>
          <w:p>
            <w:pPr>
              <w:pStyle w:val="Compact"/>
            </w:pPr>
            <w:r>
              <w:t xml:space="preserve">12</w:t>
            </w:r>
          </w:p>
        </w:tc>
        <w:tc>
          <w:tcPr/>
          <w:p>
            <w:pPr>
              <w:pStyle w:val="Compact"/>
            </w:pPr>
            <w:r>
              <w:t xml:space="preserve">HALLO caloric restriction and TRE</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r>
        <w:tc>
          <w:tcPr/>
          <w:p>
            <w:pPr>
              <w:pStyle w:val="Compact"/>
            </w:pPr>
            <w:r>
              <w:t xml:space="preserve">13</w:t>
            </w:r>
          </w:p>
        </w:tc>
        <w:tc>
          <w:tcPr/>
          <w:p>
            <w:pPr>
              <w:pStyle w:val="Compact"/>
            </w:pPr>
            <w:r>
              <w:t xml:space="preserve">Multidomain lifestyle and epigenetic ageing</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r>
        <w:tc>
          <w:tcPr/>
          <w:p>
            <w:pPr>
              <w:pStyle w:val="Compact"/>
            </w:pPr>
            <w:r>
              <w:t xml:space="preserve">14</w:t>
            </w:r>
          </w:p>
        </w:tc>
        <w:tc>
          <w:tcPr/>
          <w:p>
            <w:pPr>
              <w:pStyle w:val="Compact"/>
            </w:pPr>
            <w:r>
              <w:t xml:space="preserve">TROFFi fisetin phase II RCT design</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bl>
    <w:bookmarkEnd w:id="22"/>
    <w:bookmarkStart w:id="23" w:name="figure-legends"/>
    <w:p>
      <w:pPr>
        <w:pStyle w:val="Heading1"/>
      </w:pPr>
      <w:r>
        <w:t xml:space="preserve">Figure Legends</w:t>
      </w:r>
    </w:p>
    <w:p>
      <w:pPr>
        <w:pStyle w:val="FirstParagraph"/>
      </w:pPr>
      <w:r>
        <w:rPr>
          <w:i/>
          <w:iCs/>
        </w:rPr>
        <w:t xml:space="preserve">Figures are provided as a separate file (Figures 1–4). Legends are listed here and each figure is cited at first mention in the text.</w:t>
      </w:r>
    </w:p>
    <w:p>
      <w:pPr>
        <w:pStyle w:val="BodyText"/>
      </w:pPr>
      <w:r>
        <w:rPr>
          <w:b/>
          <w:bCs/>
        </w:rPr>
        <w:t xml:space="preserve">Figure 1. Study selection flow.</w:t>
      </w:r>
      <w:r>
        <w:t xml:space="preserve"> </w:t>
      </w:r>
      <w:r>
        <w:t xml:space="preserve">Records moved from database retrieval (1155 raw), through duplicate removal (126 removed; 1029 retained), title/abstract screening (29 include; 455 uncertain; 545 exclude), full-text eligibility assessment (484 records), and prioritised human-evidence verification (40 records; 19 open full text, 16 abstract, 5 not retrieved), to 28 records contributing extracted effect information.</w:t>
      </w:r>
    </w:p>
    <w:p>
      <w:pPr>
        <w:pStyle w:val="BodyText"/>
      </w:pPr>
      <w:r>
        <w:rPr>
          <w:b/>
          <w:bCs/>
        </w:rPr>
        <w:t xml:space="preserve">Figure 2. Intervention credibility-score ranking (n=14 classes).</w:t>
      </w:r>
      <w:r>
        <w:t xml:space="preserve"> </w:t>
      </w:r>
      <w:r>
        <w:t xml:space="preserve">The score integrates human record count, human-trial count, direct ageing/healthspan outcomes, biomarker count, surrogate burden, and a promotional-language penalty. Exercise ranked first (31.48); stem-cell approaches ranked last (1.68). Bar colour denotes the translational category.</w:t>
      </w:r>
    </w:p>
    <w:p>
      <w:pPr>
        <w:pStyle w:val="BodyText"/>
      </w:pPr>
      <w:r>
        <w:rPr>
          <w:b/>
          <w:bCs/>
        </w:rPr>
        <w:t xml:space="preserve">Figure 3. Credibility versus promotional-language burden.</w:t>
      </w:r>
      <w:r>
        <w:t xml:space="preserve"> </w:t>
      </w:r>
      <w:r>
        <w:t xml:space="preserve">Credibility score (x-axis) plotted against the proportion of extracted records flagged for promotional (</w:t>
      </w:r>
      <w:r>
        <w:t xml:space="preserve">“hype-heavy”</w:t>
      </w:r>
      <w:r>
        <w:t xml:space="preserve">) terminology (y-axis), by intervention domain. Bubble size denotes the number of extracted records. Interventions with high credibility and low promotional burden (exercise, lifestyle bundle) appear lower-right; reprogramming and plasma/telomerase (</w:t>
      </w:r>
      <w:r>
        <w:t xml:space="preserve">“controversial”</w:t>
      </w:r>
      <w:r>
        <w:t xml:space="preserve">) approaches appear upper-left.</w:t>
      </w:r>
    </w:p>
    <w:p>
      <w:pPr>
        <w:pStyle w:val="BodyText"/>
      </w:pPr>
      <w:r>
        <w:rPr>
          <w:b/>
          <w:bCs/>
        </w:rPr>
        <w:t xml:space="preserve">Figure 4. Translational-readiness map.</w:t>
      </w:r>
      <w:r>
        <w:t xml:space="preserve"> </w:t>
      </w:r>
      <w:r>
        <w:t xml:space="preserve">Conservative category assignment for 14 intervention classes: A — healthspan support signal; B — promising, not recommendation-ready; C — biomarker/indirect signal; D — speculative/low directness. Marker size is proportional to the number of human studies.</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2026-06-24T19:33:58Z</dcterms:created>
  <dcterms:modified xsi:type="dcterms:W3CDTF">2026-06-24T19:33:58Z</dcterms:modified>
</cp:coreProperties>
</file>

<file path=docProps/custom.xml><?xml version="1.0" encoding="utf-8"?>
<Properties xmlns="http://schemas.openxmlformats.org/officeDocument/2006/custom-properties" xmlns:vt="http://schemas.openxmlformats.org/officeDocument/2006/docPropsVTypes"/>
</file>