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AFF47" w14:textId="77777777" w:rsidR="008E271A" w:rsidRDefault="00000000" w:rsidP="008006CF">
      <w:pPr>
        <w:pStyle w:val="FirstParagraph"/>
        <w:jc w:val="center"/>
      </w:pPr>
      <w:r>
        <w:rPr>
          <w:b/>
          <w:bCs/>
        </w:rPr>
        <w:t>Cover Letter — Revised Submission (R1)</w:t>
      </w:r>
    </w:p>
    <w:p w14:paraId="1B902056" w14:textId="77777777" w:rsidR="008E271A" w:rsidRDefault="00000000" w:rsidP="008006CF">
      <w:pPr>
        <w:pStyle w:val="BodyText"/>
        <w:jc w:val="right"/>
      </w:pPr>
      <w:r>
        <w:t>Date: 25 June 2026</w:t>
      </w:r>
    </w:p>
    <w:p w14:paraId="573923E2" w14:textId="77777777" w:rsidR="008006CF" w:rsidRDefault="00000000">
      <w:pPr>
        <w:pStyle w:val="BodyText"/>
      </w:pPr>
      <w:r>
        <w:t xml:space="preserve">To, </w:t>
      </w:r>
    </w:p>
    <w:p w14:paraId="0335390B" w14:textId="7980A4A4" w:rsidR="008E271A" w:rsidRDefault="00000000">
      <w:pPr>
        <w:pStyle w:val="BodyText"/>
      </w:pPr>
      <w:r>
        <w:t>The Editor Medical Journal of Dr. D.Y. Patil Vidyapeeth (MJDRDYPU)</w:t>
      </w:r>
    </w:p>
    <w:p w14:paraId="2BDA1E82" w14:textId="77777777" w:rsidR="008E271A" w:rsidRDefault="00000000">
      <w:pPr>
        <w:pStyle w:val="BodyText"/>
      </w:pPr>
      <w:r>
        <w:rPr>
          <w:b/>
          <w:bCs/>
        </w:rPr>
        <w:t>Re: Revised manuscript mjdrdypu_451_26 — “Can Ageing Be Slowed or Reversed? A Reproducible Evidence Map and Credibility Ranking of Anti-Ageing and Age-Reversal Interventions”</w:t>
      </w:r>
    </w:p>
    <w:p w14:paraId="69D12DF4" w14:textId="77777777" w:rsidR="008E271A" w:rsidRDefault="00000000">
      <w:pPr>
        <w:pStyle w:val="BodyText"/>
      </w:pPr>
      <w:r>
        <w:t>Dear Editor,</w:t>
      </w:r>
    </w:p>
    <w:p w14:paraId="18DCDA7C" w14:textId="77777777" w:rsidR="008E271A" w:rsidRDefault="00000000">
      <w:pPr>
        <w:pStyle w:val="BodyText"/>
      </w:pPr>
      <w:r>
        <w:t>Thank you for the opportunity to revise the above manuscript and for the referees’ time. I am pleased to submit the revised version together with a point-by-point response to the reviewers.</w:t>
      </w:r>
    </w:p>
    <w:p w14:paraId="6BB68FA6" w14:textId="77777777" w:rsidR="008E271A" w:rsidRDefault="00000000">
      <w:pPr>
        <w:pStyle w:val="BodyText"/>
      </w:pPr>
      <w:r>
        <w:t>The manuscript presents a reproducible, conservative evidence map of anti-ageing and age-reversal intervention claims. It explicitly separates healthspan benefit, biological-age biomarkers, lifespan claims, and true clinical rejuvenation, and it avoids therapeutic overclaiming. The work uses public bibliographic metadata and open-access text only; no individual participant data were accessed.</w:t>
      </w:r>
    </w:p>
    <w:p w14:paraId="55B1D3E1" w14:textId="77777777" w:rsidR="008E271A" w:rsidRDefault="00000000">
      <w:pPr>
        <w:pStyle w:val="BodyText"/>
      </w:pPr>
      <w:r>
        <w:t>In this revision I have substantially strengthened the manuscript:</w:t>
      </w:r>
    </w:p>
    <w:p w14:paraId="221A5341" w14:textId="77777777" w:rsidR="008E271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Reviewer response.</w:t>
      </w:r>
      <w:r>
        <w:t xml:space="preserve"> I have addressed each reviewer comment in the accompanying point-by-point letter. I respectfully note that several comments (on diabetic versus non-diabetic patient groups, MMSE administration, and individual polypharmacy assessment) describe a patient-level clinical cohort study and do not correspond to the content of this bibliographic evidence map, which has no patient groups or individual-level data. I have nonetheless engaged the underlying geriatric principles raised — confounding control, frailty, cognitive-screening validity, and medication appropriateness — as they apply to the primary studies synthesised here.</w:t>
      </w:r>
    </w:p>
    <w:p w14:paraId="66F8A965" w14:textId="77777777" w:rsidR="008E271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Scientific framing.</w:t>
      </w:r>
      <w:r>
        <w:t xml:space="preserve"> The manuscript is now presented as a completed, deliberately scoped evidence map. Internal working language (“pilot,” “capped run,” “counts will change,” “final submission requires…”) has been removed throughout, and the abstract conclusion has been sharpened into a definitive scholarly statement.</w:t>
      </w:r>
    </w:p>
    <w:p w14:paraId="6C877E27" w14:textId="77777777" w:rsidR="008E271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Title.</w:t>
      </w:r>
      <w:r>
        <w:t xml:space="preserve"> Refined to remove “Mechanistic Synthesis,” which was not delivered as a discrete analysis, giving a title that matches the content.</w:t>
      </w:r>
    </w:p>
    <w:p w14:paraId="24FF7EAD" w14:textId="77777777" w:rsidR="008E271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Figures.</w:t>
      </w:r>
      <w:r>
        <w:t xml:space="preserve"> Figure 2 has been corrected; the submitted version mistakenly plotted a different score column and disagreed with Table 1. All four figures have been regenerated from the source data with data labels and plain-language axis titles, and the Figure 1 (PRISMA) study-selection diagram has been redrawn so that all text fits within its boxes with connected directional arrows.</w:t>
      </w:r>
    </w:p>
    <w:p w14:paraId="78AB8AE3" w14:textId="77777777" w:rsidR="008E271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Tables and labelling.</w:t>
      </w:r>
      <w:r>
        <w:t xml:space="preserve"> Two opaque Table 1 intervention-class labels have been clarified — “Supplements” is now “Dietary supplements” (resveratrol, curcumin, omega-3, </w:t>
      </w:r>
      <w:r>
        <w:lastRenderedPageBreak/>
        <w:t>vitamin D) and “Controversial” is now “Plasma/telomerase” (heterochronic parabiosis, young-plasma transfer, plasma dilution, telomerase activation) — with a defining Note added beneath Table 1 and the same labels carried through to Figures 2–4.</w:t>
      </w:r>
    </w:p>
    <w:p w14:paraId="67FC10B6" w14:textId="77777777" w:rsidR="008E271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References.</w:t>
      </w:r>
      <w:r>
        <w:t xml:space="preserve"> Author lists are now truncated to six authors followed by “et al.” per Vancouver style, citation numbering is sequential by first appearance, and in-text citations use superscript bracketed numerals.</w:t>
      </w:r>
    </w:p>
    <w:p w14:paraId="4C1A05D6" w14:textId="77777777" w:rsidR="008E271A" w:rsidRDefault="00000000">
      <w:pPr>
        <w:pStyle w:val="FirstParagraph"/>
      </w:pPr>
      <w:r>
        <w:t>The submission package includes: the revised blinded manuscript (with Tables 1–3 and the figure legends placed after the references), a separate figures file (Figures 1–4), this cover letter, a separate title page, declarations, a point-by-point response to reviewers, the submission checklist, supplementary material (Supplementary Table S1 and supporting items), the PRISMA 2020 checklist, and a reference audit.</w:t>
      </w:r>
    </w:p>
    <w:p w14:paraId="1D5EB5EA" w14:textId="77777777" w:rsidR="008E271A" w:rsidRDefault="00000000">
      <w:pPr>
        <w:pStyle w:val="BodyText"/>
      </w:pPr>
      <w:r>
        <w:t>The manuscript is not under consideration elsewhere. All scientific claims have been verified by the author prior to resubmission.</w:t>
      </w:r>
    </w:p>
    <w:p w14:paraId="55759D4F" w14:textId="77777777" w:rsidR="008E271A" w:rsidRDefault="00000000">
      <w:pPr>
        <w:pStyle w:val="BodyText"/>
      </w:pPr>
      <w:r>
        <w:t>Sincerely,</w:t>
      </w:r>
    </w:p>
    <w:p w14:paraId="3400CE76" w14:textId="77777777" w:rsidR="008006CF" w:rsidRDefault="00000000">
      <w:pPr>
        <w:pStyle w:val="BodyText"/>
      </w:pPr>
      <w:r>
        <w:t xml:space="preserve">Dr Siddalingaiah H S </w:t>
      </w:r>
    </w:p>
    <w:p w14:paraId="1C20CE98" w14:textId="46227C21" w:rsidR="008E271A" w:rsidRDefault="00000000">
      <w:pPr>
        <w:pStyle w:val="BodyText"/>
      </w:pPr>
      <w:r>
        <w:t>Professor, Community Medicine Shridevi Institute of Medical Sciences and Research Hospital, Tumkur Email: hssling@yahoo.com | Phone: 8941087719 | ORCID: 0000-0002-4771-8285</w:t>
      </w:r>
    </w:p>
    <w:p w14:paraId="1C9FD1FF" w14:textId="77777777" w:rsidR="008006CF" w:rsidRDefault="008006CF">
      <w:pPr>
        <w:pStyle w:val="BodyText"/>
      </w:pPr>
    </w:p>
    <w:p w14:paraId="73D1A5A6" w14:textId="77777777" w:rsidR="008006CF" w:rsidRDefault="008006CF">
      <w:pPr>
        <w:pStyle w:val="BodyText"/>
      </w:pPr>
    </w:p>
    <w:p w14:paraId="01508284" w14:textId="77777777" w:rsidR="008006CF" w:rsidRDefault="008006CF" w:rsidP="008006CF">
      <w:pPr>
        <w:pStyle w:val="FirstParagraph"/>
        <w:jc w:val="center"/>
      </w:pPr>
      <w:r>
        <w:rPr>
          <w:b/>
          <w:bCs/>
        </w:rPr>
        <w:t>Title Page</w:t>
      </w:r>
    </w:p>
    <w:p w14:paraId="08ABAB8B" w14:textId="77777777" w:rsidR="008006CF" w:rsidRDefault="008006CF" w:rsidP="008006CF">
      <w:pPr>
        <w:pStyle w:val="BodyText"/>
      </w:pPr>
      <w:r>
        <w:rPr>
          <w:b/>
          <w:bCs/>
        </w:rPr>
        <w:t>Manuscript number:</w:t>
      </w:r>
      <w:r>
        <w:t xml:space="preserve"> mjdrdypu_451_26 (Revision R1)</w:t>
      </w:r>
    </w:p>
    <w:p w14:paraId="3CE09FB5" w14:textId="77777777" w:rsidR="008006CF" w:rsidRDefault="008006CF" w:rsidP="008006CF">
      <w:pPr>
        <w:pStyle w:val="BodyText"/>
      </w:pPr>
      <w:r>
        <w:rPr>
          <w:b/>
          <w:bCs/>
        </w:rPr>
        <w:t>Date:</w:t>
      </w:r>
      <w:r>
        <w:t xml:space="preserve"> 25 June 2026</w:t>
      </w:r>
    </w:p>
    <w:p w14:paraId="105BA82E" w14:textId="77777777" w:rsidR="008006CF" w:rsidRDefault="008006CF" w:rsidP="008006CF">
      <w:pPr>
        <w:pStyle w:val="BodyText"/>
      </w:pPr>
      <w:r>
        <w:rPr>
          <w:b/>
          <w:bCs/>
        </w:rPr>
        <w:t>Title:</w:t>
      </w:r>
      <w:r>
        <w:t xml:space="preserve"> Can Ageing Be Slowed or Reversed? A Reproducible Evidence Map and Credibility Ranking of Anti-Ageing and Age-Reversal Interventions</w:t>
      </w:r>
    </w:p>
    <w:p w14:paraId="274F982C" w14:textId="77777777" w:rsidR="008006CF" w:rsidRDefault="008006CF" w:rsidP="008006CF">
      <w:pPr>
        <w:pStyle w:val="BodyText"/>
      </w:pPr>
      <w:r>
        <w:rPr>
          <w:b/>
          <w:bCs/>
        </w:rPr>
        <w:t>Article type:</w:t>
      </w:r>
      <w:r>
        <w:t xml:space="preserve"> Systematic review / evidence map</w:t>
      </w:r>
    </w:p>
    <w:p w14:paraId="338D90F3" w14:textId="77777777" w:rsidR="008006CF" w:rsidRDefault="008006CF" w:rsidP="008006CF">
      <w:pPr>
        <w:pStyle w:val="BodyText"/>
      </w:pPr>
      <w:r>
        <w:rPr>
          <w:b/>
          <w:bCs/>
        </w:rPr>
        <w:t>Running title:</w:t>
      </w:r>
      <w:r>
        <w:t xml:space="preserve"> Anti-ageing evidence map</w:t>
      </w:r>
    </w:p>
    <w:p w14:paraId="58FE8042" w14:textId="77777777" w:rsidR="008006CF" w:rsidRDefault="008006CF" w:rsidP="008006CF">
      <w:pPr>
        <w:pStyle w:val="BodyText"/>
      </w:pPr>
      <w:r>
        <w:rPr>
          <w:b/>
          <w:bCs/>
        </w:rPr>
        <w:t>Author:</w:t>
      </w:r>
      <w:r>
        <w:t xml:space="preserve"> Dr Siddalingaiah H S, Professor, Community Medicine</w:t>
      </w:r>
    </w:p>
    <w:p w14:paraId="368B56D8" w14:textId="77777777" w:rsidR="008006CF" w:rsidRDefault="008006CF" w:rsidP="008006CF">
      <w:pPr>
        <w:pStyle w:val="BodyText"/>
      </w:pPr>
      <w:r>
        <w:rPr>
          <w:b/>
          <w:bCs/>
        </w:rPr>
        <w:t>Affiliation:</w:t>
      </w:r>
      <w:r>
        <w:t xml:space="preserve"> Shridevi Institute of Medical Sciences and Research Hospital, Tumkur, Karnataka, India</w:t>
      </w:r>
    </w:p>
    <w:p w14:paraId="1A8F6168" w14:textId="77777777" w:rsidR="008006CF" w:rsidRDefault="008006CF" w:rsidP="008006CF">
      <w:pPr>
        <w:pStyle w:val="BodyText"/>
      </w:pPr>
      <w:r>
        <w:rPr>
          <w:b/>
          <w:bCs/>
        </w:rPr>
        <w:t>Corresponding author:</w:t>
      </w:r>
      <w:r>
        <w:t xml:space="preserve"> Dr Siddalingaiah H S; Email: hssling@yahoo.com; Phone: 8941087719; ORCID: 0000-0002-4771-8285</w:t>
      </w:r>
    </w:p>
    <w:p w14:paraId="09988A75" w14:textId="77777777" w:rsidR="008006CF" w:rsidRDefault="008006CF" w:rsidP="008006CF">
      <w:pPr>
        <w:pStyle w:val="BodyText"/>
      </w:pPr>
      <w:r>
        <w:rPr>
          <w:b/>
          <w:bCs/>
        </w:rPr>
        <w:t>Main text word count (excl. references, tables, figures):</w:t>
      </w:r>
      <w:r>
        <w:t xml:space="preserve"> ~2750</w:t>
      </w:r>
    </w:p>
    <w:p w14:paraId="3C045C68" w14:textId="77777777" w:rsidR="008006CF" w:rsidRDefault="008006CF" w:rsidP="008006CF">
      <w:pPr>
        <w:pStyle w:val="BodyText"/>
      </w:pPr>
      <w:r>
        <w:rPr>
          <w:b/>
          <w:bCs/>
        </w:rPr>
        <w:t>Number of references cited in text:</w:t>
      </w:r>
      <w:r>
        <w:t xml:space="preserve"> 14 (refs 1–14); refs 15–40 listed in Supplementary Table S1</w:t>
      </w:r>
    </w:p>
    <w:p w14:paraId="0E59DA93" w14:textId="77777777" w:rsidR="008006CF" w:rsidRDefault="008006CF" w:rsidP="008006CF">
      <w:pPr>
        <w:pStyle w:val="BodyText"/>
      </w:pPr>
      <w:r>
        <w:rPr>
          <w:b/>
          <w:bCs/>
        </w:rPr>
        <w:lastRenderedPageBreak/>
        <w:t>Display items:</w:t>
      </w:r>
      <w:r>
        <w:t xml:space="preserve"> 3 tables (Tables 1–3) and 4 figures (Figures 1–4). Tables and figure legends are placed after the references; the figures are supplied as a separate file.</w:t>
      </w:r>
    </w:p>
    <w:p w14:paraId="2822F63F" w14:textId="77777777" w:rsidR="008006CF" w:rsidRDefault="008006CF" w:rsidP="008006CF">
      <w:pPr>
        <w:pStyle w:val="BodyText"/>
      </w:pPr>
      <w:r>
        <w:rPr>
          <w:b/>
          <w:bCs/>
        </w:rPr>
        <w:t>Source(s) of support:</w:t>
      </w:r>
      <w:r>
        <w:t xml:space="preserve"> No external funding declared.</w:t>
      </w:r>
    </w:p>
    <w:p w14:paraId="604D953E" w14:textId="77777777" w:rsidR="008006CF" w:rsidRDefault="008006CF" w:rsidP="008006CF">
      <w:pPr>
        <w:pStyle w:val="BodyText"/>
      </w:pPr>
      <w:r>
        <w:rPr>
          <w:b/>
          <w:bCs/>
        </w:rPr>
        <w:t>Conflicts of interest:</w:t>
      </w:r>
      <w:r>
        <w:t xml:space="preserve"> None declared.</w:t>
      </w:r>
    </w:p>
    <w:p w14:paraId="1B635ADF" w14:textId="77777777" w:rsidR="008006CF" w:rsidRDefault="008006CF" w:rsidP="008006CF">
      <w:pPr>
        <w:pStyle w:val="BodyText"/>
      </w:pPr>
      <w:r>
        <w:rPr>
          <w:b/>
          <w:bCs/>
        </w:rPr>
        <w:t>Ethics approval:</w:t>
      </w:r>
      <w:r>
        <w:t xml:space="preserve"> Not applicable; public bibliographic metadata and open-access text only, with no individual participant data.</w:t>
      </w:r>
    </w:p>
    <w:p w14:paraId="4DA1CD57" w14:textId="77777777" w:rsidR="008006CF" w:rsidRDefault="008006CF" w:rsidP="008006CF">
      <w:pPr>
        <w:pStyle w:val="BodyText"/>
      </w:pPr>
      <w:r>
        <w:rPr>
          <w:b/>
          <w:bCs/>
        </w:rPr>
        <w:t>Guarantor:</w:t>
      </w:r>
      <w:r>
        <w:t xml:space="preserve"> Dr Siddalingaiah H S</w:t>
      </w:r>
    </w:p>
    <w:p w14:paraId="534F6283" w14:textId="77777777" w:rsidR="008006CF" w:rsidRDefault="008006CF" w:rsidP="008006CF">
      <w:pPr>
        <w:pStyle w:val="BodyText"/>
      </w:pPr>
      <w:r>
        <w:rPr>
          <w:b/>
          <w:bCs/>
        </w:rPr>
        <w:t>Protocol registration:</w:t>
      </w:r>
      <w:r>
        <w:t xml:space="preserve"> Not prospectively registered; acknowledged as a limitation in the manuscript.</w:t>
      </w:r>
    </w:p>
    <w:p w14:paraId="2783289D" w14:textId="77777777" w:rsidR="008006CF" w:rsidRDefault="008006CF" w:rsidP="008006CF">
      <w:pPr>
        <w:pStyle w:val="BodyText"/>
      </w:pPr>
      <w:r>
        <w:rPr>
          <w:b/>
          <w:bCs/>
        </w:rPr>
        <w:t>Note on this revision:</w:t>
      </w:r>
      <w:r>
        <w:t xml:space="preserve"> The title has been refined to remove “Mechanistic Synthesis,” which was not delivered as a separate analysis in the manuscript, more accurately reflecting the content (a reproducible evidence map and credibility ranking). In addition, two Table 1 intervention-class labels have been clarified (“Supplements” → “Dietary supplements”; “Controversial” → “Plasma/telomerase”) with a defining Note beneath Table 1, and Figure 1 (PRISMA) has been </w:t>
      </w:r>
      <w:proofErr w:type="gramStart"/>
      <w:r>
        <w:t>redrawn</w:t>
      </w:r>
      <w:proofErr w:type="gramEnd"/>
      <w:r>
        <w:t xml:space="preserve"> so all text fits within its boxes. Full details are given in the point-by-point response to reviewers.</w:t>
      </w:r>
    </w:p>
    <w:p w14:paraId="674688B7" w14:textId="77777777" w:rsidR="008006CF" w:rsidRDefault="008006CF">
      <w:pPr>
        <w:pStyle w:val="BodyText"/>
      </w:pPr>
    </w:p>
    <w:sectPr w:rsidR="008006C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1"/>
    <w:family w:val="roman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E064D7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B925B7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853378203">
    <w:abstractNumId w:val="0"/>
  </w:num>
  <w:num w:numId="2" w16cid:durableId="11463169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271A"/>
    <w:rsid w:val="00776A10"/>
    <w:rsid w:val="008006CF"/>
    <w:rsid w:val="008E2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EB50C"/>
  <w15:docId w15:val="{C2DD8EA7-AC94-49E9-A6DB-2B7FED239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BodyTextChar">
    <w:name w:val="Body Text Char"/>
    <w:basedOn w:val="DefaultParagraphFont"/>
    <w:link w:val="BodyText"/>
    <w:rsid w:val="008006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846</Words>
  <Characters>4825</Characters>
  <Application>Microsoft Office Word</Application>
  <DocSecurity>0</DocSecurity>
  <Lines>40</Lines>
  <Paragraphs>11</Paragraphs>
  <ScaleCrop>false</ScaleCrop>
  <Company/>
  <LinksUpToDate>false</LinksUpToDate>
  <CharactersWithSpaces>5660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Dr Siddalingaiah H S</dc:creator>
  <cp:keywords/>
  <cp:lastModifiedBy>Dr Siddalingaiah H S</cp:lastModifiedBy>
  <cp:revision>2</cp:revision>
  <dcterms:created xsi:type="dcterms:W3CDTF">2026-06-25T06:28:00Z</dcterms:created>
  <dcterms:modified xsi:type="dcterms:W3CDTF">2026-06-25T06:28:00Z</dcterms:modified>
</cp:coreProperties>
</file>