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line="264" w:lineRule="auto"/>
      </w:pPr>
      <w:r>
        <w:rPr>
          <w:rFonts w:ascii="Calibri" w:hAnsi="Calibri"/>
          <w:b/>
          <w:i w:val="0"/>
          <w:color w:val="0B2545"/>
          <w:sz w:val="21"/>
        </w:rPr>
        <w:t>AUTHOR PROOF REVIEW</w:t>
      </w:r>
    </w:p>
    <w:p>
      <w:pPr>
        <w:keepNext/>
        <w:spacing w:before="0" w:after="120" w:line="264" w:lineRule="auto"/>
      </w:pPr>
      <w:r>
        <w:rPr>
          <w:rFonts w:ascii="Calibri" w:hAnsi="Calibri"/>
          <w:b/>
          <w:i w:val="0"/>
          <w:color w:val="000000"/>
          <w:sz w:val="44"/>
        </w:rPr>
        <w:t>MJDRDYPU 451/26 — correction and confirmation details</w:t>
      </w:r>
    </w:p>
    <w:p>
      <w:pPr>
        <w:keepNext/>
        <w:spacing w:before="0" w:after="280" w:line="264" w:lineRule="auto"/>
      </w:pPr>
      <w:r>
        <w:rPr>
          <w:rFonts w:ascii="Calibri" w:hAnsi="Calibri"/>
          <w:b w:val="0"/>
          <w:i w:val="0"/>
          <w:color w:val="666666"/>
          <w:sz w:val="25"/>
        </w:rPr>
        <w:t>Accepted revised submission | Proof file: mjdrdypu_451_26_R3.pdf</w:t>
      </w:r>
    </w:p>
    <w:tbl>
      <w:tblPr>
        <w:tblW w:type="dxa" w:w="9360"/>
        <w:jc w:val="left"/>
        <w:tblLayout w:type="fixed"/>
        <w:tblLook w:firstColumn="1" w:firstRow="1" w:lastColumn="0" w:lastRow="0" w:noHBand="0" w:noVBand="1" w:val="04A0"/>
        <w:tblInd w:w="120" w:type="dxa"/>
      </w:tblPr>
      <w:tblGrid>
        <w:gridCol w:w="1650"/>
        <w:gridCol w:w="7710"/>
      </w:tblGrid>
      <w:tr>
        <w:tc>
          <w:tcPr>
            <w:tcW w:type="dxa" w:w="165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9"/>
              </w:rPr>
              <w:t>Field</w:t>
            </w:r>
          </w:p>
        </w:tc>
        <w:tc>
          <w:tcPr>
            <w:tcW w:type="dxa" w:w="771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9"/>
              </w:rPr>
              <w:t>Details</w:t>
            </w:r>
          </w:p>
        </w:tc>
      </w:tr>
      <w:tr>
        <w:tc>
          <w:tcPr>
            <w:tcW w:type="dxa" w:w="165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Journal</w:t>
            </w:r>
          </w:p>
        </w:tc>
        <w:tc>
          <w:tcPr>
            <w:tcW w:type="dxa" w:w="771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Medical Journal of Dr. D.Y. Patil Vidyapeeth (MJDRDYPU)</w:t>
            </w:r>
          </w:p>
        </w:tc>
      </w:tr>
      <w:tr>
        <w:tc>
          <w:tcPr>
            <w:tcW w:type="dxa" w:w="165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Article</w:t>
            </w:r>
          </w:p>
        </w:tc>
        <w:tc>
          <w:tcPr>
            <w:tcW w:type="dxa" w:w="771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Can Ageing Be Slowed or Reversed? A Reproducible Evidence Map and Credibility Ranking of Anti-Ageing and Age-Reversal Interventions</w:t>
            </w:r>
          </w:p>
        </w:tc>
      </w:tr>
      <w:tr>
        <w:tc>
          <w:tcPr>
            <w:tcW w:type="dxa" w:w="165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Proof reviewed</w:t>
            </w:r>
          </w:p>
        </w:tc>
        <w:tc>
          <w:tcPr>
            <w:tcW w:type="dxa" w:w="771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9-page author proof; reviewed 9 August 2026</w:t>
            </w:r>
          </w:p>
        </w:tc>
      </w:tr>
      <w:tr>
        <w:tc>
          <w:tcPr>
            <w:tcW w:type="dxa" w:w="165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Source package</w:t>
            </w:r>
          </w:p>
        </w:tc>
        <w:tc>
          <w:tcPr>
            <w:tcW w:type="dxa" w:w="771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MJDRDYPU_AntiAgeing_revision_R1_2026-06-23 submission assets</w:t>
            </w:r>
          </w:p>
        </w:tc>
      </w:tr>
      <w:tr>
        <w:tc>
          <w:tcPr>
            <w:tcW w:type="dxa" w:w="165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Disposition</w:t>
            </w:r>
          </w:p>
        </w:tc>
        <w:tc>
          <w:tcPr>
            <w:tcW w:type="dxa" w:w="771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9"/>
              </w:rPr>
              <w:t>Correction request before final approval; not a clean confirmation yet</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val="clear"/>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Pr>
          <w:p>
            <w:pPr>
              <w:spacing w:before="80" w:after="80" w:line="264" w:lineRule="auto"/>
            </w:pPr>
            <w:r>
              <w:rPr>
                <w:rFonts w:ascii="Calibri" w:hAnsi="Calibri"/>
                <w:b/>
                <w:color w:val="7A5A00"/>
                <w:sz w:val="21"/>
              </w:rPr>
              <w:t xml:space="preserve">Overall conclusion: </w:t>
            </w:r>
            <w:r>
              <w:rPr>
                <w:rFonts w:ascii="Calibri" w:hAnsi="Calibri"/>
                <w:color w:val="000000"/>
                <w:sz w:val="21"/>
              </w:rPr>
              <w:t>The proof is generally readable and the main tables/figures are present, but corrections are required before approval. The most important content issue is the data-availability URL, which currently resolves to an unrelated DEAI manuscript repository. The proof also contains unresolved author queries and production placeholders.</w:t>
            </w:r>
          </w:p>
        </w:tc>
      </w:tr>
    </w:tbl>
    <w:p>
      <w:pPr>
        <w:spacing w:before="0" w:after="40" w:line="240" w:lineRule="auto"/>
      </w:pPr>
    </w:p>
    <w:p>
      <w:pPr>
        <w:pStyle w:val="Heading1"/>
        <w:keepNext/>
      </w:pPr>
      <w:r>
        <w:rPr>
          <w:rFonts w:ascii="Calibri" w:hAnsi="Calibri"/>
          <w:b/>
          <w:color w:val="2E74B5"/>
          <w:sz w:val="32"/>
        </w:rPr>
        <w:t>Author-query responses</w:t>
      </w:r>
    </w:p>
    <w:p>
      <w:pPr>
        <w:pStyle w:val="Heading2"/>
        <w:keepNext/>
      </w:pPr>
      <w:r>
        <w:rPr>
          <w:rFonts w:ascii="Calibri" w:hAnsi="Calibri"/>
          <w:b/>
          <w:color w:val="2E74B5"/>
          <w:sz w:val="26"/>
        </w:rPr>
        <w:t>AQ1 — article type and format</w:t>
      </w:r>
    </w:p>
    <w:p>
      <w:pPr>
        <w:spacing w:before="0" w:after="120" w:line="264" w:lineRule="auto"/>
      </w:pPr>
      <w:r>
        <w:rPr>
          <w:rFonts w:ascii="Calibri" w:hAnsi="Calibri"/>
          <w:b w:val="0"/>
          <w:i w:val="0"/>
          <w:color w:val="000000"/>
          <w:sz w:val="22"/>
        </w:rPr>
        <w:t>Recommended response: Please retain the article type as “Systematic Review/Evidence Map.” This is the methodologically accurate classification because the manuscript synthesises published records through searching, deduplication, screening, classification, verification, and credibility ranking; it does not enrol participants or analyse a primary patient-level dataset.</w:t>
      </w:r>
    </w:p>
    <w:p>
      <w:pPr>
        <w:spacing w:before="0" w:after="120" w:line="264" w:lineRule="auto"/>
      </w:pPr>
      <w:r>
        <w:rPr>
          <w:rFonts w:ascii="Calibri" w:hAnsi="Calibri"/>
          <w:b w:val="0"/>
          <w:i w:val="0"/>
          <w:color w:val="0B2545"/>
          <w:sz w:val="22"/>
        </w:rPr>
        <w:t>The journal uses the label “Original Article” for some primary research papers. Reclassification as Original Article should be requested only if the editor explicitly confirms that this evidence-map study belongs in that category. If the editor confirms it, the article type must be changed consistently in the proof metadata, title page, abstract framing, checklist, and repository source. Otherwise, confirm the current classification and ask production to remove the AQ marker.</w:t>
      </w:r>
    </w:p>
    <w:p>
      <w:pPr>
        <w:pStyle w:val="Heading2"/>
        <w:keepNext/>
      </w:pPr>
      <w:r>
        <w:rPr>
          <w:rFonts w:ascii="Calibri" w:hAnsi="Calibri"/>
          <w:b/>
          <w:color w:val="2E74B5"/>
          <w:sz w:val="26"/>
        </w:rPr>
        <w:t>AQ2 — supplementary material</w:t>
      </w:r>
    </w:p>
    <w:p>
      <w:pPr>
        <w:spacing w:before="0" w:after="120" w:line="264" w:lineRule="auto"/>
      </w:pPr>
      <w:r>
        <w:rPr>
          <w:rFonts w:ascii="Calibri" w:hAnsi="Calibri"/>
          <w:b w:val="0"/>
          <w:i w:val="0"/>
          <w:color w:val="000000"/>
          <w:sz w:val="22"/>
        </w:rPr>
        <w:t>Recommended response: Yes, the supplementary material is necessary and should remain as a separate upload. It contains Supplementary Figures S1–S4 and Supplementary Tables S1–S9; the main manuscript explicitly relies on Supplementary Table S1 and Supplementary Table S2, and the data-availability statement refers to the supplementary records.</w:t>
      </w:r>
    </w:p>
    <w:p>
      <w:pPr>
        <w:spacing w:before="0" w:after="120" w:line="264" w:lineRule="auto"/>
      </w:pPr>
      <w:r>
        <w:rPr>
          <w:rFonts w:ascii="Calibri" w:hAnsi="Calibri"/>
          <w:b w:val="0"/>
          <w:i w:val="0"/>
          <w:color w:val="0B2545"/>
          <w:sz w:val="22"/>
        </w:rPr>
        <w:t>Before upload, use a clean publication-ready supplementary file and confirm that its tables and figures render correctly. The current supplementary source retains internal analysis fields such as candidate-text, manual-needed, pending-review, and quality-control flags; these should be retained only if the journal wants a full audit trail, otherwise provide a cleaned supplement with clear definitions and no unresolved workflow wording.</w:t>
      </w:r>
    </w:p>
    <w:p>
      <w:pPr>
        <w:pStyle w:val="Heading1"/>
        <w:keepNext/>
      </w:pPr>
      <w:r>
        <w:rPr>
          <w:rFonts w:ascii="Calibri" w:hAnsi="Calibri"/>
          <w:b/>
          <w:color w:val="2E74B5"/>
          <w:sz w:val="32"/>
        </w:rPr>
        <w:t>Corrections required</w:t>
      </w:r>
    </w:p>
    <w:tbl>
      <w:tblPr>
        <w:tblW w:type="dxa" w:w="9360"/>
        <w:jc w:val="left"/>
        <w:tblLayout w:type="fixed"/>
        <w:tblLook w:firstColumn="1" w:firstRow="1" w:lastColumn="0" w:lastRow="0" w:noHBand="0" w:noVBand="1" w:val="04A0"/>
        <w:tblInd w:w="120" w:type="dxa"/>
      </w:tblPr>
      <w:tblGrid>
        <w:gridCol w:w="520"/>
        <w:gridCol w:w="1680"/>
        <w:gridCol w:w="800"/>
        <w:gridCol w:w="5560"/>
        <w:gridCol w:w="800"/>
      </w:tblGrid>
      <w:tr>
        <w:tc>
          <w:tcPr>
            <w:tcW w:type="dxa" w:w="52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7"/>
              </w:rPr>
              <w:t>ID</w:t>
            </w:r>
          </w:p>
        </w:tc>
        <w:tc>
          <w:tcPr>
            <w:tcW w:type="dxa" w:w="168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7"/>
              </w:rPr>
              <w:t>Location</w:t>
            </w:r>
          </w:p>
        </w:tc>
        <w:tc>
          <w:tcPr>
            <w:tcW w:type="dxa" w:w="80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7"/>
              </w:rPr>
              <w:t>Priority</w:t>
            </w:r>
          </w:p>
        </w:tc>
        <w:tc>
          <w:tcPr>
            <w:tcW w:type="dxa" w:w="556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7"/>
              </w:rPr>
              <w:t>Requested correction</w:t>
            </w:r>
          </w:p>
        </w:tc>
        <w:tc>
          <w:tcPr>
            <w:tcW w:type="dxa" w:w="80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7"/>
              </w:rPr>
              <w:t>Status</w:t>
            </w:r>
          </w:p>
        </w:tc>
      </w:tr>
      <w:tr>
        <w:tc>
          <w:tcPr>
            <w:tcW w:type="dxa" w:w="52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C1</w:t>
            </w:r>
          </w:p>
        </w:tc>
        <w:tc>
          <w:tcPr>
            <w:tcW w:type="dxa" w:w="168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Page 8; Data availability statement</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High</w:t>
            </w:r>
          </w:p>
        </w:tc>
        <w:tc>
          <w:tcPr>
            <w:tcW w:type="dxa" w:w="5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Replace https://github.com/hssling/deai-ecological-validation-india with the article-specific folder URL after the repository package is committed and pushed. The current URL resolves to an unrelated DEAI ecological-validation project.</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Correction required</w:t>
            </w:r>
          </w:p>
        </w:tc>
      </w:tr>
      <w:tr>
        <w:tc>
          <w:tcPr>
            <w:tcW w:type="dxa" w:w="52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C2</w:t>
            </w:r>
          </w:p>
        </w:tc>
        <w:tc>
          <w:tcPr>
            <w:tcW w:type="dxa" w:w="168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Page 1; publication metadata</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High</w:t>
            </w:r>
          </w:p>
        </w:tc>
        <w:tc>
          <w:tcPr>
            <w:tcW w:type="dxa" w:w="5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Replace Volume XX, Issue XX, Month 2026, Web Publication: ***, and 2026;XX:XX-XX in the citation box with final production metadata.</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Correction required</w:t>
            </w:r>
          </w:p>
        </w:tc>
      </w:tr>
      <w:tr>
        <w:tc>
          <w:tcPr>
            <w:tcW w:type="dxa" w:w="52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C3</w:t>
            </w:r>
          </w:p>
        </w:tc>
        <w:tc>
          <w:tcPr>
            <w:tcW w:type="dxa" w:w="168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Page 1; proof identifier</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Medium</w:t>
            </w:r>
          </w:p>
        </w:tc>
        <w:tc>
          <w:tcPr>
            <w:tcW w:type="dxa" w:w="5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Verify the mismatch between the R3 filename and the page header mjdrdypu_451_26_R2_SREM. Correct the identifier if R2 is not the intended internal production code.</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Correction required</w:t>
            </w:r>
          </w:p>
        </w:tc>
      </w:tr>
      <w:tr>
        <w:tc>
          <w:tcPr>
            <w:tcW w:type="dxa" w:w="52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C4</w:t>
            </w:r>
          </w:p>
        </w:tc>
        <w:tc>
          <w:tcPr>
            <w:tcW w:type="dxa" w:w="168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Pages 3 and 6; category wording</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Medium</w:t>
            </w:r>
          </w:p>
        </w:tc>
        <w:tc>
          <w:tcPr>
            <w:tcW w:type="dxa" w:w="5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Remove or explicitly define the obsolete parenthetical “controversial” in the Results text and Figure 3 legend. The revised manuscript says the category was renamed Plasma/telomerase.</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Correction required</w:t>
            </w:r>
          </w:p>
        </w:tc>
      </w:tr>
      <w:tr>
        <w:tc>
          <w:tcPr>
            <w:tcW w:type="dxa" w:w="52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C5</w:t>
            </w:r>
          </w:p>
        </w:tc>
        <w:tc>
          <w:tcPr>
            <w:tcW w:type="dxa" w:w="168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Page 6; Figure 3</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Medium</w:t>
            </w:r>
          </w:p>
        </w:tc>
        <w:tc>
          <w:tcPr>
            <w:tcW w:type="dxa" w:w="5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Move the dashed-line label hype-flag threshold 0.10 so it does not collide visually with the Microbiome point label.</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Correction required</w:t>
            </w:r>
          </w:p>
        </w:tc>
      </w:tr>
      <w:tr>
        <w:tc>
          <w:tcPr>
            <w:tcW w:type="dxa" w:w="52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C6</w:t>
            </w:r>
          </w:p>
        </w:tc>
        <w:tc>
          <w:tcPr>
            <w:tcW w:type="dxa" w:w="168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Supplementary file</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Medium</w:t>
            </w:r>
          </w:p>
        </w:tc>
        <w:tc>
          <w:tcPr>
            <w:tcW w:type="dxa" w:w="5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Use final labels consistently, or provide a prominent crosswalk for legacy analysis fields Supplements and Controversial versus Dietary supplements and Plasma/telomerase. Remove unresolved workflow wording if not requested by the journal.</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Correction required</w:t>
            </w:r>
          </w:p>
        </w:tc>
      </w:tr>
      <w:tr>
        <w:tc>
          <w:tcPr>
            <w:tcW w:type="dxa" w:w="52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C7</w:t>
            </w:r>
          </w:p>
        </w:tc>
        <w:tc>
          <w:tcPr>
            <w:tcW w:type="dxa" w:w="168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Page 1; title styling</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Low</w:t>
            </w:r>
          </w:p>
        </w:tc>
        <w:tc>
          <w:tcPr>
            <w:tcW w:type="dxa" w:w="5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7"/>
              </w:rPr>
              <w:t>Check title capitalization against the accepted title page. The proof headline uses “Can Ageing be Slowed...” while the accepted title uses “Can Ageing Be Slowed...”. Apply the journal’s chosen case consistently.</w:t>
            </w:r>
          </w:p>
        </w:tc>
        <w:tc>
          <w:tcPr>
            <w:tcW w:type="dxa" w:w="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color w:val="9B1C1C"/>
                <w:sz w:val="17"/>
              </w:rPr>
              <w:t>Correction required</w:t>
            </w:r>
          </w:p>
        </w:tc>
      </w:tr>
    </w:tbl>
    <w:p>
      <w:pPr>
        <w:pStyle w:val="Heading1"/>
        <w:keepNext/>
      </w:pPr>
      <w:r>
        <w:rPr>
          <w:rFonts w:ascii="Calibri" w:hAnsi="Calibri"/>
          <w:b/>
          <w:color w:val="2E74B5"/>
          <w:sz w:val="32"/>
        </w:rPr>
        <w:t>Confirmed proof checks</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8"/>
              </w:rPr>
              <w:t>Check</w:t>
            </w:r>
          </w:p>
        </w:tc>
        <w:tc>
          <w:tcPr>
            <w:tcW w:type="dxa" w:w="7560"/>
            <w:tcMar>
              <w:top w:w="80" w:type="dxa"/>
              <w:start w:w="120" w:type="dxa"/>
              <w:bottom w:w="80" w:type="dxa"/>
              <w:end w:w="120" w:type="dxa"/>
            </w:tcMar>
            <w:vAlign w:val="center"/>
            <w:shd w:fill="F2F4F7" w:val="clear"/>
            <w:tcBorders>
              <w:top w:val="single" w:sz="6" w:space="0" w:color="C8D3E0"/>
              <w:left w:val="single" w:sz="6" w:space="0" w:color="C8D3E0"/>
              <w:bottom w:val="single" w:sz="6" w:space="0" w:color="C8D3E0"/>
              <w:right w:val="single" w:sz="6" w:space="0" w:color="C8D3E0"/>
              <w:insideH w:val="single" w:sz="6" w:space="0" w:color="C8D3E0"/>
              <w:insideV w:val="single" w:sz="6" w:space="0" w:color="C8D3E0"/>
            </w:tcBorders>
          </w:tcPr>
          <w:p>
            <w:pPr>
              <w:spacing w:before="0" w:after="0" w:line="240" w:lineRule="auto"/>
            </w:pPr>
            <w:r>
              <w:rPr>
                <w:rFonts w:ascii="Calibri" w:hAnsi="Calibri"/>
                <w:b/>
                <w:color w:val="0B2545"/>
                <w:sz w:val="18"/>
              </w:rPr>
              <w:t>Result</w:t>
            </w:r>
          </w:p>
        </w:tc>
      </w:tr>
      <w:tr>
        <w:tc>
          <w:tcPr>
            <w:tcW w:type="dxa" w:w="1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Layout</w:t>
            </w:r>
          </w:p>
        </w:tc>
        <w:tc>
          <w:tcPr>
            <w:tcW w:type="dxa" w:w="7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All nine proof pages were visually inspected. No clipped body text, broken column transition, table overflow, missing main figure, or unreadable page furniture was identified.</w:t>
            </w:r>
          </w:p>
        </w:tc>
      </w:tr>
      <w:tr>
        <w:tc>
          <w:tcPr>
            <w:tcW w:type="dxa" w:w="1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Tables and figures</w:t>
            </w:r>
          </w:p>
        </w:tc>
        <w:tc>
          <w:tcPr>
            <w:tcW w:type="dxa" w:w="7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Tables 1–3 and Figures 1–4 are present. Figure 2 agrees with Table 1 for the displayed credibility scores and translational categories.</w:t>
            </w:r>
          </w:p>
        </w:tc>
      </w:tr>
      <w:tr>
        <w:tc>
          <w:tcPr>
            <w:tcW w:type="dxa" w:w="1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Citations</w:t>
            </w:r>
          </w:p>
        </w:tc>
        <w:tc>
          <w:tcPr>
            <w:tcW w:type="dxa" w:w="7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The 14 main-text references appear in sequential citation order; the additional records are cited collectively as [15–40] in Methods.</w:t>
            </w:r>
          </w:p>
        </w:tc>
      </w:tr>
      <w:tr>
        <w:tc>
          <w:tcPr>
            <w:tcW w:type="dxa" w:w="1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Reference 9</w:t>
            </w:r>
          </w:p>
        </w:tc>
        <w:tc>
          <w:tcPr>
            <w:tcW w:type="dxa" w:w="7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The proof’s PEARL reference page range 2025;17(4):908–936 agrees with PMID 40188830. The submitted Markdown source carried an inconsistent 840–863 range and should be corrected in the repository copy.</w:t>
            </w:r>
          </w:p>
        </w:tc>
      </w:tr>
      <w:tr>
        <w:tc>
          <w:tcPr>
            <w:tcW w:type="dxa" w:w="180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Supplement asset</w:t>
            </w:r>
          </w:p>
        </w:tc>
        <w:tc>
          <w:tcPr>
            <w:tcW w:type="dxa" w:w="7560"/>
            <w:tcBorders>
              <w:top w:val="single" w:sz="4" w:space="0" w:color="D9E2F3"/>
              <w:left w:val="single" w:sz="4" w:space="0" w:color="D9E2F3"/>
              <w:bottom w:val="single" w:sz="4" w:space="0" w:color="D9E2F3"/>
              <w:right w:val="single" w:sz="4" w:space="0" w:color="D9E2F3"/>
              <w:insideH w:val="single" w:sz="4" w:space="0" w:color="D9E2F3"/>
              <w:insideV w:val="single" w:sz="4" w:space="0" w:color="D9E2F3"/>
            </w:tcBorders>
          </w:tcPr>
          <w:p>
            <w:pPr>
              <w:spacing w:before="0" w:after="0" w:line="240" w:lineRule="auto"/>
            </w:pPr>
            <w:r>
              <w:rPr>
                <w:rFonts w:ascii="Calibri" w:hAnsi="Calibri"/>
                <w:b w:val="0"/>
                <w:color w:val="000000"/>
                <w:sz w:val="18"/>
              </w:rPr>
              <w:t>The supplied supplementary document contains four supplementary figures and nine supplementary tables, so AQ2 should be answered “Yes.”</w:t>
            </w:r>
          </w:p>
        </w:tc>
      </w:tr>
    </w:tbl>
    <w:p>
      <w:pPr>
        <w:pStyle w:val="Heading1"/>
        <w:keepNext/>
      </w:pPr>
      <w:r>
        <w:rPr>
          <w:rFonts w:ascii="Calibri" w:hAnsi="Calibri"/>
          <w:b/>
          <w:color w:val="2E74B5"/>
          <w:sz w:val="32"/>
        </w:rPr>
        <w:t>Repository reproducibility package</w:t>
      </w:r>
    </w:p>
    <w:p>
      <w:pPr>
        <w:spacing w:before="0" w:after="120" w:line="264" w:lineRule="auto"/>
      </w:pPr>
      <w:r>
        <w:rPr>
          <w:rFonts w:ascii="Calibri" w:hAnsi="Calibri"/>
          <w:b w:val="0"/>
          <w:i w:val="0"/>
          <w:color w:val="000000"/>
          <w:sz w:val="22"/>
        </w:rPr>
        <w:t>The existing repository was inspected before modification. Its DEAI project files are preserved. The anti-ageing package is being added under a separate anti_ageing_review/ folder, with the manuscript source, submission documents, supplementary material, figures, CSV tables, figure-generation script, package requirements, validation script, and proof-correction note.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val="clear"/>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Pr>
          <w:p>
            <w:pPr>
              <w:spacing w:before="80" w:after="80" w:line="264" w:lineRule="auto"/>
            </w:pPr>
            <w:r>
              <w:rPr>
                <w:rFonts w:ascii="Calibri" w:hAnsi="Calibri"/>
                <w:b/>
                <w:color w:val="0B2545"/>
                <w:sz w:val="21"/>
              </w:rPr>
              <w:t xml:space="preserve">Article-specific repository URL after push: </w:t>
            </w:r>
            <w:r>
              <w:rPr>
                <w:rFonts w:ascii="Calibri" w:hAnsi="Calibri"/>
                <w:color w:val="000000"/>
                <w:sz w:val="21"/>
              </w:rPr>
              <w:t>https://github.com/hssling/deai-ecological-validation-india/tree/main/anti_ageing_review. Do not use the root URL in the article until the package is committed and pushed; do not state that the URL is live until that step is complete.</w:t>
            </w:r>
          </w:p>
        </w:tc>
      </w:tr>
    </w:tbl>
    <w:p>
      <w:pPr>
        <w:spacing w:before="0" w:after="40" w:line="240" w:lineRule="auto"/>
      </w:pPr>
    </w:p>
    <w:p>
      <w:pPr>
        <w:spacing w:before="0" w:after="120" w:line="264" w:lineRule="auto"/>
      </w:pPr>
      <w:r>
        <w:rPr>
          <w:rFonts w:ascii="Calibri" w:hAnsi="Calibri"/>
          <w:b w:val="0"/>
          <w:i w:val="0"/>
          <w:color w:val="000000"/>
          <w:sz w:val="22"/>
        </w:rPr>
        <w:t>The package README has been extended rather than replaced. It documents the project scope, included files, figure-reproduction commands, data and interpretation boundaries, supplementary-material limitations, and the article-specific repository link. The validation script checks required files, the 14 intervention classes, the article-specific data link, and removal of the obsolete category wording from the repository manuscript source.</w:t>
      </w:r>
    </w:p>
    <w:p>
      <w:pPr>
        <w:pStyle w:val="Heading1"/>
        <w:keepNext/>
      </w:pPr>
      <w:r>
        <w:rPr>
          <w:rFonts w:ascii="Calibri" w:hAnsi="Calibri"/>
          <w:b/>
          <w:color w:val="2E74B5"/>
          <w:sz w:val="32"/>
        </w:rPr>
        <w:t>Suggested concise response for upload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val="clear"/>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Pr>
          <w:p>
            <w:pPr>
              <w:spacing w:before="80" w:after="80" w:line="264" w:lineRule="auto"/>
            </w:pPr>
            <w:r>
              <w:rPr>
                <w:rFonts w:ascii="Calibri" w:hAnsi="Calibri"/>
                <w:b/>
                <w:color w:val="2E74B5"/>
                <w:sz w:val="21"/>
              </w:rPr>
              <w:t xml:space="preserve">AQ1: </w:t>
            </w:r>
            <w:r>
              <w:rPr>
                <w:rFonts w:ascii="Calibri" w:hAnsi="Calibri"/>
                <w:color w:val="000000"/>
                <w:sz w:val="21"/>
              </w:rPr>
              <w:t>Confirmed. Please retain the article type as Systematic Review/Evidence Map. If the editorial office specifically confirms that the evidence map should be classified as Original Article, please update the metadata consistently; otherwise, the current classification is correct.</w:t>
            </w:r>
          </w:p>
        </w:tc>
      </w:tr>
    </w:tbl>
    <w:p>
      <w:pPr>
        <w:spacing w:before="0" w:after="40" w:line="24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2F8" w:val="clear"/>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Pr>
          <w:p>
            <w:pPr>
              <w:spacing w:before="80" w:after="80" w:line="264" w:lineRule="auto"/>
            </w:pPr>
            <w:r>
              <w:rPr>
                <w:rFonts w:ascii="Calibri" w:hAnsi="Calibri"/>
                <w:b/>
                <w:color w:val="2E74B5"/>
                <w:sz w:val="21"/>
              </w:rPr>
              <w:t xml:space="preserve">AQ2: </w:t>
            </w:r>
            <w:r>
              <w:rPr>
                <w:rFonts w:ascii="Calibri" w:hAnsi="Calibri"/>
                <w:color w:val="000000"/>
                <w:sz w:val="21"/>
              </w:rPr>
              <w:t>Confirmed. The supplementary material is required and should be retained as a separate file. It contains Supplementary Figures S1–S4 and Supplementary Tables S1–S9 supporting the main manuscript. Please ensure the clean, publication-ready supplementary file is linked to the article.</w:t>
            </w:r>
          </w:p>
        </w:tc>
      </w:tr>
    </w:tbl>
    <w:p>
      <w:pPr>
        <w:spacing w:before="0" w:after="40" w:line="240" w:lineRule="auto"/>
      </w:pPr>
    </w:p>
    <w:p>
      <w:pPr>
        <w:pStyle w:val="Heading1"/>
        <w:keepNext/>
      </w:pPr>
      <w:r>
        <w:rPr>
          <w:rFonts w:ascii="Calibri" w:hAnsi="Calibri"/>
          <w:b/>
          <w:color w:val="2E74B5"/>
          <w:sz w:val="32"/>
        </w:rPr>
        <w:t>Files prepared</w:t>
      </w:r>
    </w:p>
    <w:p>
      <w:pPr>
        <w:spacing w:before="0" w:after="120" w:line="264" w:lineRule="auto"/>
      </w:pPr>
      <w:r>
        <w:rPr>
          <w:rFonts w:ascii="Calibri" w:hAnsi="Calibri"/>
          <w:b w:val="0"/>
          <w:i w:val="0"/>
          <w:color w:val="000000"/>
          <w:sz w:val="22"/>
        </w:rPr>
        <w:t>The accompanying annotated PDF highlights the author queries and the proof locations requiring correction. This DOCX provides the full confirmation/correction record and should accompany the annotated proof during upload.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666666"/>
        <w:sz w:val="17"/>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666666"/>
        <w:sz w:val="17"/>
      </w:rPr>
      <w:t>MJDRDYPU proof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MJDRDYPU 451/26 author proof correction and confirmation details</dc:title>
  <dc:subject>Author proof review for Can Ageing Be Slowed or Reversed?</dc:subject>
  <dc:creator>Author proof review</dc:creator>
  <cp:keywords/>
  <dc:description>Prepared for proof correction upload.</dc:description>
  <cp:lastModifiedBy/>
  <cp:revision>1</cp:revision>
  <dcterms:created xsi:type="dcterms:W3CDTF">2013-12-23T23:15:00Z</dcterms:created>
  <dcterms:modified xsi:type="dcterms:W3CDTF">2013-12-23T23:15:00Z</dcterms:modified>
  <cp:category/>
</cp:coreProperties>
</file>