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bles-main-text"/>
    <w:p>
      <w:pPr>
        <w:pStyle w:val="Heading1"/>
      </w:pPr>
      <w:r>
        <w:t xml:space="preserve">Tables (main text)</w:t>
      </w:r>
    </w:p>
    <w:bookmarkStart w:id="9" w:name="Xda021f9c637f44def2c5ea6faf5910067ed8918"/>
    <w:p>
      <w:pPr>
        <w:pStyle w:val="Heading2"/>
      </w:pPr>
      <w:r>
        <w:t xml:space="preserve">Table 1. The diagnosis gap: biologically measured vs self-reported disease (weighted %, 95% CI)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2376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weighted_pct_95CI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Self-reported diabetes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 (11.5–12.4)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Biochemical diabetes (HbA1c&gt;=6.5)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 (14.7–15.9)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Undiagnosed among biochemically diabetic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51.3 (49.8–52.7)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Self-reported hypertension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 (25.5–26.7)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Measured hypertension (&gt;=140/90 mmHg)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 (30.6–31.9)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Undiagnosed among measured-hypertensive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 (62.8–65.0)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 (29.2–30.7)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Elevated CRP (&gt;3 mg/L)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 (9.2–9.9)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 (IDF Asian)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47.3 (46.2–48.3)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subclinical burden (&gt;=3 systems)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 (22.6–23.9)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58151</w:t>
            </w:r>
          </w:p>
        </w:tc>
      </w:tr>
    </w:tbl>
    <w:bookmarkEnd w:id="9"/>
    <w:bookmarkStart w:id="10" w:name="Xe3da81985ee5ee94a0e630f8a8b9837a928e1d6"/>
    <w:p>
      <w:pPr>
        <w:pStyle w:val="Heading2"/>
      </w:pPr>
      <w:r>
        <w:t xml:space="preserve">Table 2. Care cascade among all affected (% of affected, weighted, 95% CI)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pct_of_affected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Diabetes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(60.1-68.3)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Diabetes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(49.0-56.1)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Diabetes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(34.8-42.9)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(55.9-63.9)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(39.4-45.9)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(31.3-42.7)</w:t>
            </w:r>
          </w:p>
        </w:tc>
      </w:tr>
    </w:tbl>
    <w:bookmarkEnd w:id="10"/>
    <w:bookmarkStart w:id="11" w:name="Xb975043aae2a64ae757dac439d6b366ddfa9e1f"/>
    <w:p>
      <w:pPr>
        <w:pStyle w:val="Heading2"/>
      </w:pPr>
      <w:r>
        <w:t xml:space="preserve">Table 3. Socioeconomic inequality: Erreygers concentration indices (wealth-ranked)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392"/>
        <w:gridCol w:w="1740"/>
        <w:gridCol w:w="252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erreygers_CI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Undiagnosed diabetes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(-0.1219, -0.0617)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pro-poor (worse among poor)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Undiagnosed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(-0.0483, -0.0066)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pro-poor (worse among poor)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Uncontrolled diabetes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(0.0018, 0.0523)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pro-rich (worse among rich)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(0.0267, 0.0463)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pro-rich (worse among rich)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(0.1182, 0.1467)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pro-rich (worse among rich)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(-0.0487, -0.0248)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pro-poor (worse among poor)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 strength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(-0.0776, -0.0564)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pro-poor (worse among poor)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biological burden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(0.0179, 0.0414)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pro-rich (worse among rich)</w:t>
            </w:r>
          </w:p>
        </w:tc>
      </w:tr>
    </w:tbl>
    <w:bookmarkEnd w:id="11"/>
    <w:bookmarkStart w:id="12" w:name="X9afa79b936686ee49cc314dfad9bab236721de3"/>
    <w:p>
      <w:pPr>
        <w:pStyle w:val="Heading2"/>
      </w:pPr>
      <w:r>
        <w:t xml:space="preserve">Table 4. Incremental value for predicting past-year hospitalisation (nested models)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9"/>
        <w:gridCol w:w="3429"/>
        <w:gridCol w:w="571"/>
        <w:gridCol w:w="1714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AUROC_95CI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hospitalised_12m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age+sex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0.548 (0.538-0.558)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26051.5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hospitalised_12m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 +social/behaviour (simple indicators)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0.568 (0.561-0.578)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25919.7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hospitalised_12m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+self-reported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 (0.606-0.623)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25351.1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hospitalised_12m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 +measured biomarker burden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0.615 (0.607-0.624)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25343.1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2026-06-12T15:32:06Z</dcterms:created>
  <dcterms:modified xsi:type="dcterms:W3CDTF">2026-06-12T15:32:06Z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