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Date: 2026-05-18</w:t>
      </w:r>
    </w:p>
    <w:p>
      <w:r>
        <w:t>To: The Editor-in-Chief, Indian Journal of Medical Research</w:t>
      </w:r>
    </w:p>
    <w:p/>
    <w:p>
      <w:r>
        <w:t>Dear Editor, we submit the manuscript entitled 'Human interventions and DNA-methylation ageing clocks: a Path-C systematic review and meta-analysis under strict honesty constraints' for consideration in IJMR.</w:t>
      </w:r>
    </w:p>
    <w:p>
      <w:r>
        <w:t>The work systematically synthesises adjusted between-group effects on DNAm clocks from human intervention studies under pre-registered honesty gates (no fabrication, transparent gate failures). Quantitative pooling was possible only for DunedinPACE (k=3, very low GRADE certainty); other clocks are reported narratively. The manuscript additionally proposes a minimal trial-reporting checklist to make future DNAm-clock syntheses feasible.</w:t>
      </w:r>
    </w:p>
    <w:p>
      <w:r>
        <w:t>The work is original, has not been published elsewhere, and is not under consideration by any other journal. All authors have approved the submission and declare no conflicts of interest.</w:t>
      </w:r>
    </w:p>
    <w:p>
      <w:r>
        <w:t>Sincerely,</w:t>
      </w:r>
    </w:p>
    <w:p>
      <w:r>
        <w:t>Dr Siddalingaiah H S (corresponding author)</w:t>
      </w:r>
    </w:p>
    <w:p>
      <w:r>
        <w:t>Dr Chandrakala 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