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Submission checklist (IJMR)</w:t>
      </w:r>
    </w:p>
    <w:p>
      <w:r>
        <w:t>[ ] Cover letter included (IJMR_DNAm_clocks_cover_letter).</w:t>
      </w:r>
    </w:p>
    <w:p>
      <w:r>
        <w:t>[ ] Title page with corresponding author contact.</w:t>
      </w:r>
    </w:p>
    <w:p>
      <w:r>
        <w:t>[ ] Blinded manuscript (main text).</w:t>
      </w:r>
    </w:p>
    <w:p>
      <w:r>
        <w:t>[ ] PRISMA 2020 checklist (separate file).</w:t>
      </w:r>
    </w:p>
    <w:p>
      <w:r>
        <w:t>[ ] Supplementary materials S1–S10.</w:t>
      </w:r>
    </w:p>
    <w:p>
      <w:r>
        <w:t>[ ] Four main figures at 300 dpi (PNG + SVG).</w:t>
      </w:r>
    </w:p>
    <w:p>
      <w:r>
        <w:t>[ ] Tables (CSV + DOCX renderings).</w:t>
      </w:r>
    </w:p>
    <w:p>
      <w:r>
        <w:t>[ ] Declarations: funding, conflicts, ethics, data availability, author contributions.</w:t>
      </w:r>
    </w:p>
    <w:p>
      <w:r>
        <w:t>[ ] Confirmation: no fabrication; every gate failure reported transparently.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