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6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centile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1. </w:t>
      </w:r>
      <w:r>
        <w:t>National LASI reference curves: predicted median (solid) and lower limit of normal (dashed) for FVC and FEV1 by age and sex, at each sex's reference height.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30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2. </w:t>
      </w:r>
      <w:r>
        <w:t>Internal validation: held-out z-scores by age band for FEV1 and FVC in men and women; a well-calibrated reference gives means near 0 and standard deviations near 1.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6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refere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3. </w:t>
      </w:r>
      <w:r>
        <w:t>Weighted PRISm prevalence in the same national sample under five reference equations and two thresholds. Prevalence collapses under the nationally representative LASI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