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Xa9eb551bf9665390a02b9ae8c2c9d3a5ceac59f"/>
    <w:p>
      <w:pPr>
        <w:pStyle w:val="Heading1"/>
      </w:pPr>
      <w:r>
        <w:t xml:space="preserve">STROBE Statement — Checklist for Cross-Sectional Studies</w:t>
      </w:r>
    </w:p>
    <w:p>
      <w:pPr>
        <w:pStyle w:val="FirstParagraph"/>
      </w:pPr>
      <w:r>
        <w:t xml:space="preserve">Manuscript:</w:t>
      </w:r>
      <w:r>
        <w:t xml:space="preserve"> </w:t>
      </w:r>
      <w:r>
        <w:rPr>
          <w:i/>
          <w:iCs/>
        </w:rPr>
        <w:t xml:space="preserve">Nationally Representative Spirometry Reference Equations for Middle-Aged and Older Indians (LASI Wave 1).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Item</w:t>
            </w:r>
          </w:p>
        </w:tc>
        <w:tc>
          <w:tcPr/>
          <w:p>
            <w:pPr>
              <w:pStyle w:val="Compact"/>
            </w:pPr>
            <w:r>
              <w:t xml:space="preserve">Recommendation</w:t>
            </w:r>
          </w:p>
        </w:tc>
        <w:tc>
          <w:tcPr/>
          <w:p>
            <w:pPr>
              <w:pStyle w:val="Compact"/>
            </w:pPr>
            <w:r>
              <w:t xml:space="preserve">Reported (section)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Title and abstract</w:t>
            </w:r>
            <w:r>
              <w:t xml:space="preserve"> </w:t>
            </w: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Design in title/abstract; balanced summary</w:t>
            </w:r>
          </w:p>
        </w:tc>
        <w:tc>
          <w:tcPr/>
          <w:p>
            <w:pPr>
              <w:pStyle w:val="Compact"/>
            </w:pPr>
            <w:r>
              <w:t xml:space="preserve">Title states design and dataset; structured Abstract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Background/rationale 2</w:t>
            </w:r>
          </w:p>
        </w:tc>
        <w:tc>
          <w:tcPr/>
          <w:p>
            <w:pPr>
              <w:pStyle w:val="Compact"/>
            </w:pPr>
            <w:r>
              <w:t xml:space="preserve">Background and rationale</w:t>
            </w:r>
          </w:p>
        </w:tc>
        <w:tc>
          <w:tcPr/>
          <w:p>
            <w:pPr>
              <w:pStyle w:val="Compact"/>
            </w:pPr>
            <w:r>
              <w:t xml:space="preserve">Introduction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Objectives 3</w:t>
            </w:r>
          </w:p>
        </w:tc>
        <w:tc>
          <w:tcPr/>
          <w:p>
            <w:pPr>
              <w:pStyle w:val="Compact"/>
            </w:pPr>
            <w:r>
              <w:t xml:space="preserve">Specific objectives</w:t>
            </w:r>
          </w:p>
        </w:tc>
        <w:tc>
          <w:tcPr/>
          <w:p>
            <w:pPr>
              <w:pStyle w:val="Compact"/>
            </w:pPr>
            <w:r>
              <w:t xml:space="preserve">Introduction (two aims)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Study design 4</w:t>
            </w:r>
          </w:p>
        </w:tc>
        <w:tc>
          <w:tcPr/>
          <w:p>
            <w:pPr>
              <w:pStyle w:val="Compact"/>
            </w:pPr>
            <w:r>
              <w:t xml:space="preserve">Key design elements</w:t>
            </w:r>
          </w:p>
        </w:tc>
        <w:tc>
          <w:tcPr/>
          <w:p>
            <w:pPr>
              <w:pStyle w:val="Compact"/>
            </w:pPr>
            <w:r>
              <w:t xml:space="preserve">Methods — Data source and sampling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Setting 5</w:t>
            </w:r>
          </w:p>
        </w:tc>
        <w:tc>
          <w:tcPr/>
          <w:p>
            <w:pPr>
              <w:pStyle w:val="Compact"/>
            </w:pPr>
            <w:r>
              <w:t xml:space="preserve">Setting, locations, dates</w:t>
            </w:r>
          </w:p>
        </w:tc>
        <w:tc>
          <w:tcPr/>
          <w:p>
            <w:pPr>
              <w:pStyle w:val="Compact"/>
            </w:pPr>
            <w:r>
              <w:t xml:space="preserve">Methods — LASI Wave 1, 2017–2019, national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Participants 6</w:t>
            </w:r>
          </w:p>
        </w:tc>
        <w:tc>
          <w:tcPr/>
          <w:p>
            <w:pPr>
              <w:pStyle w:val="Compact"/>
            </w:pPr>
            <w:r>
              <w:t xml:space="preserve">Eligibility, sources, selection</w:t>
            </w:r>
          </w:p>
        </w:tc>
        <w:tc>
          <w:tcPr/>
          <w:p>
            <w:pPr>
              <w:pStyle w:val="Compact"/>
            </w:pPr>
            <w:r>
              <w:t xml:space="preserve">Methods — Reference (healthy) population; Comparison sample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Variables 7</w:t>
            </w:r>
          </w:p>
        </w:tc>
        <w:tc>
          <w:tcPr/>
          <w:p>
            <w:pPr>
              <w:pStyle w:val="Compact"/>
            </w:pPr>
            <w:r>
              <w:t xml:space="preserve">Outcomes, predictors</w:t>
            </w:r>
          </w:p>
        </w:tc>
        <w:tc>
          <w:tcPr/>
          <w:p>
            <w:pPr>
              <w:pStyle w:val="Compact"/>
            </w:pPr>
            <w:r>
              <w:t xml:space="preserve">Methods — Derivation (FEV1, FVC, ratio; age, height, sex)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Data sources/measurement 8</w:t>
            </w:r>
          </w:p>
        </w:tc>
        <w:tc>
          <w:tcPr/>
          <w:p>
            <w:pPr>
              <w:pStyle w:val="Compact"/>
            </w:pPr>
            <w:r>
              <w:t xml:space="preserve">Sources and assessment</w:t>
            </w:r>
          </w:p>
        </w:tc>
        <w:tc>
          <w:tcPr/>
          <w:p>
            <w:pPr>
              <w:pStyle w:val="Compact"/>
            </w:pPr>
            <w:r>
              <w:t xml:space="preserve">Methods — field spirometry, measured height,</w:t>
            </w:r>
            <w:r>
              <w:t xml:space="preserve"> </w:t>
            </w:r>
            <w:r>
              <w:rPr>
                <w:rStyle w:val="VerbatimChar"/>
              </w:rPr>
              <w:t xml:space="preserve">pyspiro</w:t>
            </w:r>
            <w:r>
              <w:t xml:space="preserve"> </w:t>
            </w:r>
            <w:r>
              <w:t xml:space="preserve">cross-validation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Bias 9</w:t>
            </w:r>
          </w:p>
        </w:tc>
        <w:tc>
          <w:tcPr/>
          <w:p>
            <w:pPr>
              <w:pStyle w:val="Compact"/>
            </w:pPr>
            <w:r>
              <w:t xml:space="preserve">Efforts to address bias</w:t>
            </w:r>
          </w:p>
        </w:tc>
        <w:tc>
          <w:tcPr/>
          <w:p>
            <w:pPr>
              <w:pStyle w:val="Compact"/>
            </w:pPr>
            <w:r>
              <w:t xml:space="preserve">Methods — respiratory-healthy definition; internal validation; multi-reference comparison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Study size 10</w:t>
            </w:r>
          </w:p>
        </w:tc>
        <w:tc>
          <w:tcPr/>
          <w:p>
            <w:pPr>
              <w:pStyle w:val="Compact"/>
            </w:pPr>
            <w:r>
              <w:t xml:space="preserve">How arrived at</w:t>
            </w:r>
          </w:p>
        </w:tc>
        <w:tc>
          <w:tcPr/>
          <w:p>
            <w:pPr>
              <w:pStyle w:val="Compact"/>
            </w:pPr>
            <w:r>
              <w:t xml:space="preserve">Methods/Results — n=24,300 healthy; n=30,995 analytic</w:t>
            </w:r>
          </w:p>
        </w:tc>
      </w:tr>
      <w:tr>
        <w:tc>
          <w:tcPr/>
          <w:p>
            <w:pPr>
              <w:pStyle w:val="Compact"/>
            </w:pPr>
            <w:r>
              <w:t xml:space="preserve">Quantitative variables 11</w:t>
            </w:r>
          </w:p>
        </w:tc>
        <w:tc>
          <w:tcPr/>
          <w:p>
            <w:pPr>
              <w:pStyle w:val="Compact"/>
            </w:pPr>
            <w:r>
              <w:t xml:space="preserve">Handling</w:t>
            </w:r>
          </w:p>
        </w:tc>
        <w:tc>
          <w:tcPr/>
          <w:p>
            <w:pPr>
              <w:pStyle w:val="Compact"/>
            </w:pPr>
            <w:r>
              <w:t xml:space="preserve">Methods — GAMLSS/LMS (BCCG: L, M, S penalized splines in age; ln-height for volumes); fixed and LLN thresholds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Statistical methods 12</w:t>
            </w:r>
          </w:p>
        </w:tc>
        <w:tc>
          <w:tcPr/>
          <w:p>
            <w:pPr>
              <w:pStyle w:val="Compact"/>
            </w:pPr>
            <w:r>
              <w:t xml:space="preserve">Methods; validation; sensitivity</w:t>
            </w:r>
          </w:p>
        </w:tc>
        <w:tc>
          <w:tcPr/>
          <w:p>
            <w:pPr>
              <w:pStyle w:val="Compact"/>
            </w:pPr>
            <w:r>
              <w:t xml:space="preserve">Methods — Derivation, Validation (held-out 20%), Comparison and burden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Participants 13</w:t>
            </w:r>
          </w:p>
        </w:tc>
        <w:tc>
          <w:tcPr/>
          <w:p>
            <w:pPr>
              <w:pStyle w:val="Compact"/>
            </w:pPr>
            <w:r>
              <w:t xml:space="preserve">Numbers at each stage</w:t>
            </w:r>
          </w:p>
        </w:tc>
        <w:tc>
          <w:tcPr/>
          <w:p>
            <w:pPr>
              <w:pStyle w:val="Compact"/>
            </w:pPr>
            <w:r>
              <w:t xml:space="preserve">Results — Reference population; Methods — analytic sample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Descriptive data 14</w:t>
            </w:r>
          </w:p>
        </w:tc>
        <w:tc>
          <w:tcPr/>
          <w:p>
            <w:pPr>
              <w:pStyle w:val="Compact"/>
            </w:pPr>
            <w:r>
              <w:t xml:space="preserve">Characteristics</w:t>
            </w:r>
          </w:p>
        </w:tc>
        <w:tc>
          <w:tcPr/>
          <w:p>
            <w:pPr>
              <w:pStyle w:val="Compact"/>
            </w:pPr>
            <w:r>
              <w:t xml:space="preserve">Table 1; Supplementary Table S1</w:t>
            </w:r>
          </w:p>
        </w:tc>
      </w:tr>
      <w:tr>
        <w:tc>
          <w:tcPr/>
          <w:p>
            <w:pPr>
              <w:pStyle w:val="Compact"/>
            </w:pPr>
            <w:r>
              <w:t xml:space="preserve">Outcome data 15</w:t>
            </w:r>
          </w:p>
        </w:tc>
        <w:tc>
          <w:tcPr/>
          <w:p>
            <w:pPr>
              <w:pStyle w:val="Compact"/>
            </w:pPr>
            <w:r>
              <w:t xml:space="preserve">Summary of outcomes</w:t>
            </w:r>
          </w:p>
        </w:tc>
        <w:tc>
          <w:tcPr/>
          <w:p>
            <w:pPr>
              <w:pStyle w:val="Compact"/>
            </w:pPr>
            <w:r>
              <w:t xml:space="preserve">Results — equations, validation, burden; Tables 2–4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Main results 16</w:t>
            </w:r>
          </w:p>
        </w:tc>
        <w:tc>
          <w:tcPr/>
          <w:p>
            <w:pPr>
              <w:pStyle w:val="Compact"/>
            </w:pPr>
            <w:r>
              <w:t xml:space="preserve">Estimates + CIs</w:t>
            </w:r>
          </w:p>
        </w:tc>
        <w:tc>
          <w:tcPr/>
          <w:p>
            <w:pPr>
              <w:pStyle w:val="Compact"/>
            </w:pPr>
            <w:r>
              <w:t xml:space="preserve">Tables 3–4; Figures 1–3</w:t>
            </w:r>
          </w:p>
        </w:tc>
      </w:tr>
      <w:tr>
        <w:tc>
          <w:tcPr/>
          <w:p>
            <w:pPr>
              <w:pStyle w:val="Compact"/>
            </w:pPr>
            <w:r>
              <w:t xml:space="preserve">Other analyses 17</w:t>
            </w:r>
          </w:p>
        </w:tc>
        <w:tc>
          <w:tcPr/>
          <w:p>
            <w:pPr>
              <w:pStyle w:val="Compact"/>
            </w:pPr>
            <w:r>
              <w:t xml:space="preserve">Subgroups, sensitivity</w:t>
            </w:r>
          </w:p>
        </w:tc>
        <w:tc>
          <w:tcPr/>
          <w:p>
            <w:pPr>
              <w:pStyle w:val="Compact"/>
            </w:pPr>
            <w:r>
              <w:t xml:space="preserve">Validation by age band (Figure 2, Supplementary S2); five-reference comparison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Key results 18</w:t>
            </w:r>
          </w:p>
        </w:tc>
        <w:tc>
          <w:tcPr/>
          <w:p>
            <w:pPr>
              <w:pStyle w:val="Compact"/>
            </w:pPr>
            <w:r>
              <w:t xml:space="preserve">Summary vs objectives</w:t>
            </w:r>
          </w:p>
        </w:tc>
        <w:tc>
          <w:tcPr/>
          <w:p>
            <w:pPr>
              <w:pStyle w:val="Compact"/>
            </w:pPr>
            <w:r>
              <w:t xml:space="preserve">Discussion (opening)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Limitations 19</w:t>
            </w:r>
          </w:p>
        </w:tc>
        <w:tc>
          <w:tcPr/>
          <w:p>
            <w:pPr>
              <w:pStyle w:val="Compact"/>
            </w:pPr>
            <w:r>
              <w:t xml:space="preserve">Limitations, bias direction</w:t>
            </w:r>
          </w:p>
        </w:tc>
        <w:tc>
          <w:tcPr/>
          <w:p>
            <w:pPr>
              <w:pStyle w:val="Compact"/>
            </w:pPr>
            <w:r>
              <w:t xml:space="preserve">Discussion — Strengths and limitations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Interpretation 20</w:t>
            </w:r>
          </w:p>
        </w:tc>
        <w:tc>
          <w:tcPr/>
          <w:p>
            <w:pPr>
              <w:pStyle w:val="Compact"/>
            </w:pPr>
            <w:r>
              <w:t xml:space="preserve">Cautious interpretation</w:t>
            </w:r>
          </w:p>
        </w:tc>
        <w:tc>
          <w:tcPr/>
          <w:p>
            <w:pPr>
              <w:pStyle w:val="Compact"/>
            </w:pPr>
            <w:r>
              <w:t xml:space="preserve">Discussion; Conclusions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Generalisability 21</w:t>
            </w:r>
          </w:p>
        </w:tc>
        <w:tc>
          <w:tcPr/>
          <w:p>
            <w:pPr>
              <w:pStyle w:val="Compact"/>
            </w:pPr>
            <w:r>
              <w:t xml:space="preserve">External validity</w:t>
            </w:r>
          </w:p>
        </w:tc>
        <w:tc>
          <w:tcPr/>
          <w:p>
            <w:pPr>
              <w:pStyle w:val="Compact"/>
            </w:pPr>
            <w:r>
              <w:t xml:space="preserve">Discussion — national representativeness; ages ≥45 only</w:t>
            </w:r>
          </w:p>
        </w:tc>
      </w:tr>
      <w:tr>
        <w:tc>
          <w:tcPr/>
          <w:p>
            <w:pPr>
              <w:pStyle w:val="Compact"/>
            </w:pPr>
            <w:r>
              <w:t xml:space="preserve">Funding 22</w:t>
            </w:r>
          </w:p>
        </w:tc>
        <w:tc>
          <w:tcPr/>
          <w:p>
            <w:pPr>
              <w:pStyle w:val="Compact"/>
            </w:pPr>
            <w:r>
              <w:t xml:space="preserve">Funding role</w:t>
            </w:r>
          </w:p>
        </w:tc>
        <w:tc>
          <w:tcPr/>
          <w:p>
            <w:pPr>
              <w:pStyle w:val="Compact"/>
            </w:pPr>
            <w:r>
              <w:t xml:space="preserve">Title page — none</w:t>
            </w:r>
          </w:p>
        </w:tc>
      </w:tr>
    </w:tbl>
    <w:p>
      <w:pPr>
        <w:pStyle w:val="BodyText"/>
      </w:pPr>
      <w:r>
        <w:t xml:space="preserve">The STROBE checklist guided reporting.</w:t>
      </w:r>
    </w:p>
    <w:bookmarkEnd w:id="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2026-07-08T06:14:29Z</dcterms:created>
  <dcterms:modified xsi:type="dcterms:W3CDTF">2026-07-08T06:14:29Z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