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Nationally Representative Spirometry Reference Equations for Middle-Aged and Older Indians (LASI Wave 1).</w:t>
      </w:r>
    </w:p>
    <w:bookmarkStart w:id="9" w:name="X8982d1e333d5315448585fbf0805def39dc5c82"/>
    <w:p>
      <w:pPr>
        <w:pStyle w:val="Heading2"/>
      </w:pPr>
      <w:r>
        <w:t xml:space="preserve">Supplementary Methods — how to apply the equations (GAMLSS / LMS)</w:t>
      </w:r>
    </w:p>
    <w:p>
      <w:pPr>
        <w:pStyle w:val="FirstParagraph"/>
      </w:pPr>
      <w:r>
        <w:t xml:space="preserve">The reference is a GAMLSS Box-Cox Cole-Green (BCCG) / LMS model. For each sex and parameter it provides three age-specific values: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(Box-Cox skewness),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(median), and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(coefficient of variation), tabulated in Supplementary Table S2. For the volumes (FEV1, FVC), the median depends on height multiplicatively through a fitted exponent</w:t>
      </w:r>
      <w:r>
        <w:t xml:space="preserve"> </w:t>
      </w:r>
      <w:r>
        <w:rPr>
          <w:i/>
          <w:iCs/>
        </w:rPr>
        <w:t xml:space="preserve">b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M(age, height) = M_ref(age) × (height / reference height)^b</w:t>
      </w:r>
      <w:r>
        <w:t xml:space="preserve">, where M_ref(age) is the tabulated median at the sex-specific reference height (men 162.5 cm, women 150.6 cm) and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is the height exponent (Table S2). For the FEV1/FVC ratio there is no height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z-score</w:t>
      </w:r>
      <w:r>
        <w:t xml:space="preserve"> </w:t>
      </w:r>
      <w:r>
        <w:t xml:space="preserve">= [ (observed / M)^L − 1 ] / (L × S) (for L ≠ 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LLN (5th centile)</w:t>
      </w:r>
      <w:r>
        <w:t xml:space="preserve"> </w:t>
      </w:r>
      <w:r>
        <w:t xml:space="preserve">= M × (1 + L × S × (−1.645))^(1/L)</w:t>
      </w:r>
    </w:p>
    <w:p>
      <w:pPr>
        <w:pStyle w:val="FirstParagraph"/>
      </w:pPr>
      <w:r>
        <w:rPr>
          <w:b/>
          <w:bCs/>
        </w:rPr>
        <w:t xml:space="preserve">Worked example (man, 60 years, 165 cm, FVC):</w:t>
      </w:r>
      <w:r>
        <w:t xml:space="preserve"> </w:t>
      </w:r>
      <w:r>
        <w:t xml:space="preserve">from Table S2, L = 1.017, M_ref = 2.696 L (at 162.5 cm), S = 0.208, b = 2.038. Median at 165 cm = 2.696 × (165/162.5)^2.038 =</w:t>
      </w:r>
      <w:r>
        <w:t xml:space="preserve"> </w:t>
      </w:r>
      <w:r>
        <w:rPr>
          <w:b/>
          <w:bCs/>
        </w:rPr>
        <w:t xml:space="preserve">2.78 L</w:t>
      </w:r>
      <w:r>
        <w:t xml:space="preserve">. LLN = 2.78 × (1 + 1.017×0.208×(−1.645))^(1/1.017) =</w:t>
      </w:r>
      <w:r>
        <w:t xml:space="preserve"> </w:t>
      </w:r>
      <w:r>
        <w:rPr>
          <w:b/>
          <w:bCs/>
        </w:rPr>
        <w:t xml:space="preserve">1.83 L</w:t>
      </w:r>
      <w:r>
        <w:t xml:space="preserve"> </w:t>
      </w:r>
      <w:r>
        <w:t xml:space="preserve">(matches Supplementary Table S3).</w:t>
      </w:r>
    </w:p>
    <w:bookmarkEnd w:id="9"/>
    <w:bookmarkStart w:id="10" w:name="X1a083abe08a2e345afc4b456aca4cb1081fcbd8"/>
    <w:p>
      <w:pPr>
        <w:pStyle w:val="Heading2"/>
      </w:pPr>
      <w:r>
        <w:t xml:space="preserve">Supplementary Table S1. Reference (healthy) population by sex and age band — median lung 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Height, cm</w:t>
            </w:r>
          </w:p>
        </w:tc>
        <w:tc>
          <w:tcPr/>
          <w:p>
            <w:pPr>
              <w:pStyle w:val="Compact"/>
            </w:pPr>
            <w:r>
              <w:t xml:space="preserve">FEV1, L</w:t>
            </w:r>
          </w:p>
        </w:tc>
        <w:tc>
          <w:tcPr/>
          <w:p>
            <w:pPr>
              <w:pStyle w:val="Compact"/>
            </w:pPr>
            <w:r>
              <w:t xml:space="preserve">FVC,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45–54</w:t>
            </w:r>
          </w:p>
        </w:tc>
        <w:tc>
          <w:tcPr/>
          <w:p>
            <w:pPr>
              <w:pStyle w:val="Compact"/>
            </w:pPr>
            <w:r>
              <w:t xml:space="preserve">4,284</w:t>
            </w:r>
          </w:p>
        </w:tc>
        <w:tc>
          <w:tcPr/>
          <w:p>
            <w:pPr>
              <w:pStyle w:val="Compact"/>
            </w:pPr>
            <w:r>
              <w:t xml:space="preserve">163.3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55–64</w:t>
            </w:r>
          </w:p>
        </w:tc>
        <w:tc>
          <w:tcPr/>
          <w:p>
            <w:pPr>
              <w:pStyle w:val="Compact"/>
            </w:pPr>
            <w:r>
              <w:t xml:space="preserve">3,095</w:t>
            </w:r>
          </w:p>
        </w:tc>
        <w:tc>
          <w:tcPr/>
          <w:p>
            <w:pPr>
              <w:pStyle w:val="Compact"/>
            </w:pPr>
            <w:r>
              <w:t xml:space="preserve">162.4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65–74</w:t>
            </w:r>
          </w:p>
        </w:tc>
        <w:tc>
          <w:tcPr/>
          <w:p>
            <w:pPr>
              <w:pStyle w:val="Compact"/>
            </w:pPr>
            <w:r>
              <w:t xml:space="preserve">2,173</w:t>
            </w:r>
          </w:p>
        </w:tc>
        <w:tc>
          <w:tcPr/>
          <w:p>
            <w:pPr>
              <w:pStyle w:val="Compact"/>
            </w:pPr>
            <w:r>
              <w:t xml:space="preserve">162.1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≥75</w:t>
            </w:r>
          </w:p>
        </w:tc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160.0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45–54</w:t>
            </w:r>
          </w:p>
        </w:tc>
        <w:tc>
          <w:tcPr/>
          <w:p>
            <w:pPr>
              <w:pStyle w:val="Compact"/>
            </w:pPr>
            <w:r>
              <w:t xml:space="preserve">6,455</w:t>
            </w:r>
          </w:p>
        </w:tc>
        <w:tc>
          <w:tcPr/>
          <w:p>
            <w:pPr>
              <w:pStyle w:val="Compact"/>
            </w:pPr>
            <w:r>
              <w:t xml:space="preserve">151.5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55–64</w:t>
            </w:r>
          </w:p>
        </w:tc>
        <w:tc>
          <w:tcPr/>
          <w:p>
            <w:pPr>
              <w:pStyle w:val="Compact"/>
            </w:pPr>
            <w:r>
              <w:t xml:space="preserve">4,716</w:t>
            </w:r>
          </w:p>
        </w:tc>
        <w:tc>
          <w:tcPr/>
          <w:p>
            <w:pPr>
              <w:pStyle w:val="Compact"/>
            </w:pPr>
            <w:r>
              <w:t xml:space="preserve">150.2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65–74</w:t>
            </w:r>
          </w:p>
        </w:tc>
        <w:tc>
          <w:tcPr/>
          <w:p>
            <w:pPr>
              <w:pStyle w:val="Compact"/>
            </w:pPr>
            <w:r>
              <w:t xml:space="preserve">2,331</w:t>
            </w:r>
          </w:p>
        </w:tc>
        <w:tc>
          <w:tcPr/>
          <w:p>
            <w:pPr>
              <w:pStyle w:val="Compact"/>
            </w:pPr>
            <w:r>
              <w:t xml:space="preserve">149.3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≥75</w:t>
            </w: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  <w:tc>
          <w:tcPr/>
          <w:p>
            <w:pPr>
              <w:pStyle w:val="Compact"/>
            </w:pPr>
            <w:r>
              <w:t xml:space="preserve">148.2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</w:tbl>
    <w:p>
      <w:pPr>
        <w:pStyle w:val="BodyText"/>
      </w:pPr>
      <w:r>
        <w:t xml:space="preserve">Values are medians. Numbers thin beyond age 75, where equation confidence is correspondingly lower.</w:t>
      </w:r>
    </w:p>
    <w:bookmarkEnd w:id="10"/>
    <w:bookmarkStart w:id="11" w:name="X8c08b2dc94c4da98f48de10e4b224545e98a136"/>
    <w:p>
      <w:pPr>
        <w:pStyle w:val="Heading2"/>
      </w:pPr>
      <w:r>
        <w:t xml:space="preserve">Supplementary Table S2. GAMLSS reference values (L, M, S) by age at the sex-specific reference height</w:t>
      </w:r>
    </w:p>
    <w:p>
      <w:pPr>
        <w:pStyle w:val="FirstParagraph"/>
      </w:pPr>
      <w:r>
        <w:t xml:space="preserve">Reference height: men 162.5 cm, women 150.6 cm. Height exponent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(for M scaling): FVC 2.038 (men) / 2.014 (women); FEV1 1.816 (men) / 1.920 (women); ratio has no height term. M for FEV1/FVC is in per-cent.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1.084</w:t>
            </w:r>
          </w:p>
        </w:tc>
        <w:tc>
          <w:tcPr/>
          <w:p>
            <w:pPr>
              <w:pStyle w:val="Compact"/>
            </w:pPr>
            <w:r>
              <w:t xml:space="preserve">2.911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1.017</w:t>
            </w:r>
          </w:p>
        </w:tc>
        <w:tc>
          <w:tcPr/>
          <w:p>
            <w:pPr>
              <w:pStyle w:val="Compact"/>
            </w:pPr>
            <w:r>
              <w:t xml:space="preserve">2.696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2.460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2.237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2.096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1.970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1.075</w:t>
            </w:r>
          </w:p>
        </w:tc>
        <w:tc>
          <w:tcPr/>
          <w:p>
            <w:pPr>
              <w:pStyle w:val="Compact"/>
            </w:pPr>
            <w:r>
              <w:t xml:space="preserve">1.797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1.229</w:t>
            </w:r>
          </w:p>
        </w:tc>
        <w:tc>
          <w:tcPr/>
          <w:p>
            <w:pPr>
              <w:pStyle w:val="Compact"/>
            </w:pPr>
            <w:r>
              <w:t xml:space="preserve">1.616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1.182</w:t>
            </w:r>
          </w:p>
        </w:tc>
        <w:tc>
          <w:tcPr/>
          <w:p>
            <w:pPr>
              <w:pStyle w:val="Compact"/>
            </w:pPr>
            <w:r>
              <w:t xml:space="preserve">2.341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1.113</w:t>
            </w:r>
          </w:p>
        </w:tc>
        <w:tc>
          <w:tcPr/>
          <w:p>
            <w:pPr>
              <w:pStyle w:val="Compact"/>
            </w:pPr>
            <w:r>
              <w:t xml:space="preserve">2.128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1.044</w:t>
            </w:r>
          </w:p>
        </w:tc>
        <w:tc>
          <w:tcPr/>
          <w:p>
            <w:pPr>
              <w:pStyle w:val="Compact"/>
            </w:pPr>
            <w:r>
              <w:t xml:space="preserve">1.900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1.695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1.702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1.578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1.142</w:t>
            </w:r>
          </w:p>
        </w:tc>
        <w:tc>
          <w:tcPr/>
          <w:p>
            <w:pPr>
              <w:pStyle w:val="Compact"/>
            </w:pPr>
            <w:r>
              <w:t xml:space="preserve">1.423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1.313</w:t>
            </w:r>
          </w:p>
        </w:tc>
        <w:tc>
          <w:tcPr/>
          <w:p>
            <w:pPr>
              <w:pStyle w:val="Compact"/>
            </w:pPr>
            <w:r>
              <w:t xml:space="preserve">1.279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2.675</w:t>
            </w:r>
          </w:p>
        </w:tc>
        <w:tc>
          <w:tcPr/>
          <w:p>
            <w:pPr>
              <w:pStyle w:val="Compact"/>
            </w:pPr>
            <w:r>
              <w:t xml:space="preserve">80.95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2.592</w:t>
            </w:r>
          </w:p>
        </w:tc>
        <w:tc>
          <w:tcPr/>
          <w:p>
            <w:pPr>
              <w:pStyle w:val="Compact"/>
            </w:pPr>
            <w:r>
              <w:t xml:space="preserve">79.52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2.509</w:t>
            </w:r>
          </w:p>
        </w:tc>
        <w:tc>
          <w:tcPr/>
          <w:p>
            <w:pPr>
              <w:pStyle w:val="Compact"/>
            </w:pPr>
            <w:r>
              <w:t xml:space="preserve">78.16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2.426</w:t>
            </w:r>
          </w:p>
        </w:tc>
        <w:tc>
          <w:tcPr/>
          <w:p>
            <w:pPr>
              <w:pStyle w:val="Compact"/>
            </w:pPr>
            <w:r>
              <w:t xml:space="preserve">76.91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2.344</w:t>
            </w:r>
          </w:p>
        </w:tc>
        <w:tc>
          <w:tcPr/>
          <w:p>
            <w:pPr>
              <w:pStyle w:val="Compact"/>
            </w:pPr>
            <w:r>
              <w:t xml:space="preserve">81.62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2.244</w:t>
            </w:r>
          </w:p>
        </w:tc>
        <w:tc>
          <w:tcPr/>
          <w:p>
            <w:pPr>
              <w:pStyle w:val="Compact"/>
            </w:pPr>
            <w:r>
              <w:t xml:space="preserve">80.57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2.144</w:t>
            </w:r>
          </w:p>
        </w:tc>
        <w:tc>
          <w:tcPr/>
          <w:p>
            <w:pPr>
              <w:pStyle w:val="Compact"/>
            </w:pPr>
            <w:r>
              <w:t xml:space="preserve">79.66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FEV1/FVC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2.043</w:t>
            </w:r>
          </w:p>
        </w:tc>
        <w:tc>
          <w:tcPr/>
          <w:p>
            <w:pPr>
              <w:pStyle w:val="Compact"/>
            </w:pPr>
            <w:r>
              <w:t xml:space="preserve">79.73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</w:tbl>
    <w:p>
      <w:pPr>
        <w:pStyle w:val="BodyText"/>
      </w:pPr>
      <w:r>
        <w:t xml:space="preserve">Full single-year L, M, S curves (ages 45–90) accompany the analysis code.</w:t>
      </w:r>
    </w:p>
    <w:bookmarkEnd w:id="11"/>
    <w:bookmarkStart w:id="12" w:name="Xaae636a83fb7f0961b54901a3256aad403c87c6"/>
    <w:p>
      <w:pPr>
        <w:pStyle w:val="Heading2"/>
      </w:pPr>
      <w:r>
        <w:t xml:space="preserve">Supplementary Table S3. Full lookup table — predicted median and LLN (litres) by age and height (GAMLSS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Height (cm)</w:t>
            </w:r>
          </w:p>
        </w:tc>
        <w:tc>
          <w:tcPr/>
          <w:p>
            <w:pPr>
              <w:pStyle w:val="Compact"/>
            </w:pPr>
            <w:r>
              <w:t xml:space="preserve">FEV1 median</w:t>
            </w:r>
          </w:p>
        </w:tc>
        <w:tc>
          <w:tcPr/>
          <w:p>
            <w:pPr>
              <w:pStyle w:val="Compact"/>
            </w:pPr>
            <w:r>
              <w:t xml:space="preserve">FEV1 LLN</w:t>
            </w:r>
          </w:p>
        </w:tc>
        <w:tc>
          <w:tcPr/>
          <w:p>
            <w:pPr>
              <w:pStyle w:val="Compact"/>
            </w:pPr>
            <w:r>
              <w:t xml:space="preserve">FVC median</w:t>
            </w:r>
          </w:p>
        </w:tc>
        <w:tc>
          <w:tcPr/>
          <w:p>
            <w:pPr>
              <w:pStyle w:val="Compact"/>
            </w:pPr>
            <w:r>
              <w:t xml:space="preserve">FVC LLN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2.61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2.78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2.96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1.84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2.68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  <w:tc>
          <w:tcPr/>
          <w:p>
            <w:pPr>
              <w:pStyle w:val="Compact"/>
            </w:pPr>
            <w:r>
              <w:t xml:space="preserve">1.84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2.60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1.77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</w:tr>
    </w:tbl>
    <w:p>
      <w:pPr>
        <w:pStyle w:val="BodyText"/>
      </w:pPr>
      <w:r>
        <w:t xml:space="preserve">Intermediate ages and heights are obtained from the L, M, S values (Supplementary Table S2) via the formulae above.</w:t>
      </w:r>
    </w:p>
    <w:bookmarkEnd w:id="12"/>
    <w:bookmarkStart w:id="13" w:name="supplementary-note-method-and-validation"/>
    <w:p>
      <w:pPr>
        <w:pStyle w:val="Heading2"/>
      </w:pPr>
      <w:r>
        <w:t xml:space="preserve">Supplementary Note — method and validation</w:t>
      </w:r>
    </w:p>
    <w:p>
      <w:pPr>
        <w:pStyle w:val="FirstParagraph"/>
      </w:pPr>
      <w:r>
        <w:t xml:space="preserve">Models were fitted in R (</w:t>
      </w:r>
      <w:r>
        <w:rPr>
          <w:rStyle w:val="VerbatimChar"/>
        </w:rPr>
        <w:t xml:space="preserve">gamlss</w:t>
      </w:r>
      <w:r>
        <w:t xml:space="preserve">, BCCGo family) with penalized B-splines</w:t>
      </w:r>
      <w:r>
        <w:t xml:space="preserve"> </w:t>
      </w:r>
      <w:r>
        <w:rPr>
          <w:rStyle w:val="VerbatimChar"/>
        </w:rPr>
        <w:t xml:space="preserve">pb()</w:t>
      </w:r>
      <w:r>
        <w:t xml:space="preserve"> </w:t>
      </w:r>
      <w:r>
        <w:t xml:space="preserve">for the L, M, and S curves in age, and log-height as a linear term in the median for volumes. A simpler quadratic-in-age, log-normal (L fixed) parameterization implemented in Python gave concordant estimates (PRISm 11.9% fixed / 5.3% LLN versus the GAMLSS 13.8% / 4.0%), confirming the burden re-estimation is not an artefact of the modelling choice. Held-out validation (main Table 3) gave z-score means within ±0.05 and standard deviations 0.98–1.01 for all six sex × parameter combinations.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2026-07-08T06:14:29Z</dcterms:created>
  <dcterms:modified xsi:type="dcterms:W3CDTF">2026-07-08T06:14:29Z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