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Figure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986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manufactured_morbid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9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Figure 1. </w:t>
      </w:r>
      <w:r>
        <w:t>Weighted PRISm prevalence in the identical national sample under eleven reference x definition scenarios, coloured by reference family. The estimate is manufactured across a 12-fold range, with foreign references (including race-neutral GLI-Global) highest and the nationally representative reference lowest.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