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Manufactured Morbidity: How the Choice of Spirometry Reference Equation Fabricates a Restrictive and Preserved-Ratio</w:t>
      </w:r>
      <w:r>
        <w:t xml:space="preserve"> </w:t>
      </w:r>
      <w:r>
        <w:t xml:space="preserve">“Epidemic”</w:t>
      </w:r>
      <w:r>
        <w:t xml:space="preserve"> </w:t>
      </w:r>
      <w:r>
        <w:t xml:space="preserve">in India</w:t>
      </w:r>
    </w:p>
    <w:p>
      <w:pPr>
        <w:pStyle w:val="BodyText"/>
      </w:pPr>
      <w:r>
        <w:t xml:space="preserve">Running title: Reference equations and manufactured spirometric morbidity</w:t>
      </w:r>
    </w:p>
    <w:p>
      <w:pPr>
        <w:pStyle w:val="BodyText"/>
      </w:pPr>
      <w:r>
        <w:t xml:space="preserve">Article type: Original Article (methodological)</w:t>
      </w:r>
    </w:p>
    <w:bookmarkStart w:id="9" w:name="abstract"/>
    <w:p>
      <w:pPr>
        <w:pStyle w:val="Heading2"/>
      </w:pPr>
      <w:r>
        <w:t xml:space="preserve">Abstract</w:t>
      </w:r>
    </w:p>
    <w:p>
      <w:pPr>
        <w:pStyle w:val="FirstParagraph"/>
      </w:pPr>
      <w:r>
        <w:rPr>
          <w:b/>
          <w:bCs/>
        </w:rPr>
        <w:t xml:space="preserve">Background:</w:t>
      </w:r>
      <w:r>
        <w:t xml:space="preserve"> </w:t>
      </w:r>
      <w:r>
        <w:t xml:space="preserve">The prevalence of restrictive and preserved-ratio spirometric patterns is treated as a property of a population’s lungs. We show, in a single nationally representative sample, that it is instead largely a property of the reference equation used to interpret the spirometry.</w:t>
      </w:r>
    </w:p>
    <w:p>
      <w:pPr>
        <w:pStyle w:val="BodyText"/>
      </w:pPr>
      <w:r>
        <w:rPr>
          <w:b/>
          <w:bCs/>
        </w:rPr>
        <w:t xml:space="preserve">Methods:</w:t>
      </w:r>
      <w:r>
        <w:t xml:space="preserve"> </w:t>
      </w:r>
      <w:r>
        <w:t xml:space="preserve">In 30,996 adults aged ≥45 years with acceptable spirometry from the Longitudinal Ageing Study in India (LASI) Wave 1, we classified preserved ratio impaired spirometry (PRISm) and the restrictive spirometric pattern (RSP) under eleven scenarios: five reference equations—two global (GLI-2012 South-East Asian; GLI-Global 2022 race-neutral), two regional Indian (Chhabra-2014; Agarwal-2020), and a nationally representative LASI-derived reference—each applied with fixed and lower-limit-of-normal (LLN) thresholds, plus an internal healthy-subset floor. Survey-weighted prevalence was compared across scenarios.</w:t>
      </w:r>
    </w:p>
    <w:p>
      <w:pPr>
        <w:pStyle w:val="BodyText"/>
      </w:pPr>
      <w:r>
        <w:rPr>
          <w:b/>
          <w:bCs/>
        </w:rPr>
        <w:t xml:space="preserve">Results:</w:t>
      </w:r>
      <w:r>
        <w:t xml:space="preserve"> </w:t>
      </w:r>
      <w:r>
        <w:t xml:space="preserve">The identical lungs yielded a weighted PRISm prevalence ranging from 3.9% to 46.3%—a 12-fold difference—and RSP from 4.9% to 46.7%, driven entirely by reference and threshold choice. The scenarios separated cleanly by reference family: global/foreign equations produced the highest estimates (PRISm 27.6–46.3%), regional Indian equations intermediate (10.8–22.1%), and the nationally representative reference the lowest (3.9–11.9%). The recently recommended race-neutral GLI-Global equations produced the single highest estimate, not the lowest.</w:t>
      </w:r>
    </w:p>
    <w:p>
      <w:pPr>
        <w:pStyle w:val="BodyText"/>
      </w:pPr>
      <w:r>
        <w:rPr>
          <w:b/>
          <w:bCs/>
        </w:rPr>
        <w:t xml:space="preserve">Conclusions:</w:t>
      </w:r>
      <w:r>
        <w:t xml:space="preserve"> </w:t>
      </w:r>
      <w:r>
        <w:t xml:space="preserve">Much of India’s apparent burden of restrictive and preserved-ratio impairment is manufactured by non-representative reference equations, including modern race-neutral ones. Prevalence estimates and diagnoses that do not specify and justify their reference are uninterpretable. Population-appropriate references are a precondition, not a footnote, for respiratory epidemiology in South Asia.</w:t>
      </w:r>
    </w:p>
    <w:p>
      <w:pPr>
        <w:pStyle w:val="BodyText"/>
      </w:pPr>
      <w:r>
        <w:rPr>
          <w:b/>
          <w:bCs/>
        </w:rPr>
        <w:t xml:space="preserve">Keywords:</w:t>
      </w:r>
      <w:r>
        <w:t xml:space="preserve"> </w:t>
      </w:r>
      <w:r>
        <w:t xml:space="preserve">spirometry; reference equations; lower limit of normal; overdiagnosis; PRISm; India</w:t>
      </w:r>
    </w:p>
    <w:bookmarkEnd w:id="9"/>
    <w:bookmarkStart w:id="10" w:name="introduction"/>
    <w:p>
      <w:pPr>
        <w:pStyle w:val="Heading2"/>
      </w:pPr>
      <w:r>
        <w:t xml:space="preserve">Introduction</w:t>
      </w:r>
    </w:p>
    <w:p>
      <w:pPr>
        <w:pStyle w:val="FirstParagraph"/>
      </w:pPr>
      <w:r>
        <w:t xml:space="preserve">A spirometric</w:t>
      </w:r>
      <w:r>
        <w:t xml:space="preserve"> </w:t>
      </w:r>
      <w:r>
        <w:t xml:space="preserve">“abnormality”</w:t>
      </w:r>
      <w:r>
        <w:t xml:space="preserve"> </w:t>
      </w:r>
      <w:r>
        <w:t xml:space="preserve">is a comparison, not a measurement. Restriction, the restrictive spirometric pattern (RSP), and preserved ratio impaired spirometry (PRISm) are all defined by how far a measured FEV1 or FVC falls below a</w:t>
      </w:r>
      <w:r>
        <w:t xml:space="preserve"> </w:t>
      </w:r>
      <w:r>
        <w:rPr>
          <w:i/>
          <w:iCs/>
        </w:rPr>
        <w:t xml:space="preserve">predicted</w:t>
      </w:r>
      <w:r>
        <w:t xml:space="preserve"> </w:t>
      </w:r>
      <w:r>
        <w:t xml:space="preserve">value, and that prediction comes from a reference equation built in some other population.</w:t>
      </w:r>
      <w:r>
        <w:rPr>
          <w:vertAlign w:val="superscript"/>
        </w:rPr>
        <w:t xml:space="preserve">(1,2)</w:t>
      </w:r>
      <w:r>
        <w:t xml:space="preserve"> </w:t>
      </w:r>
      <w:r>
        <w:t xml:space="preserve">When the reference population resembles the patient, the comparison is fair; when it does not, abnormality is created or erased by arithmetic alone.</w:t>
      </w:r>
    </w:p>
    <w:p>
      <w:pPr>
        <w:pStyle w:val="BodyText"/>
      </w:pPr>
      <w:r>
        <w:t xml:space="preserve">India is the textbook case of mismatch. The Global Lung Function Initiative (GLI) 2012 equations</w:t>
      </w:r>
      <w:r>
        <w:rPr>
          <w:vertAlign w:val="superscript"/>
        </w:rPr>
        <w:t xml:space="preserve">(3)</w:t>
      </w:r>
      <w:r>
        <w:t xml:space="preserve"> </w:t>
      </w:r>
      <w:r>
        <w:t xml:space="preserve">contain no South Asian module, and South Asians have smaller lung volumes at a given age and height.</w:t>
      </w:r>
      <w:r>
        <w:rPr>
          <w:vertAlign w:val="superscript"/>
        </w:rPr>
        <w:t xml:space="preserve">(4)</w:t>
      </w:r>
      <w:r>
        <w:t xml:space="preserve"> </w:t>
      </w:r>
      <w:r>
        <w:t xml:space="preserve">Yet published Indian prevalence estimates of restriction and PRISm—some very high—are routinely reported against GLI or against small regional equations, with the reference treated as a neutral background detail rather than a determinant of the result. If the reference is in fact the dominant determinant, then a large part of the reported</w:t>
      </w:r>
      <w:r>
        <w:t xml:space="preserve"> </w:t>
      </w:r>
      <w:r>
        <w:t xml:space="preserve">“burden”</w:t>
      </w:r>
      <w:r>
        <w:t xml:space="preserve"> </w:t>
      </w:r>
      <w:r>
        <w:t xml:space="preserve">is an artefact, and the ordinary reader cannot tell signal from arithmetic.</w:t>
      </w:r>
    </w:p>
    <w:p>
      <w:pPr>
        <w:pStyle w:val="BodyText"/>
      </w:pPr>
      <w:r>
        <w:t xml:space="preserve">We tested this directly. Using a single nationally representative sample and holding the participants, the measurements, and the survey weights fixed, we varied only the reference equation and the threshold, and asked how much of the apparent burden moves.</w:t>
      </w:r>
    </w:p>
    <w:bookmarkEnd w:id="10"/>
    <w:bookmarkStart w:id="11" w:name="methods"/>
    <w:p>
      <w:pPr>
        <w:pStyle w:val="Heading2"/>
      </w:pPr>
      <w:r>
        <w:t xml:space="preserve">Methods</w:t>
      </w:r>
    </w:p>
    <w:p>
      <w:pPr>
        <w:pStyle w:val="FirstParagraph"/>
      </w:pPr>
      <w:r>
        <w:t xml:space="preserve">This is a secondary analysis of the Longitudinal Ageing Study in India (LASI) Wave 1 (2017–2019), a nationally representative survey of adults aged ≥45 years.</w:t>
      </w:r>
      <w:r>
        <w:rPr>
          <w:vertAlign w:val="superscript"/>
        </w:rPr>
        <w:t xml:space="preserve">(5,6)</w:t>
      </w:r>
      <w:r>
        <w:t xml:space="preserve"> </w:t>
      </w:r>
      <w:r>
        <w:t xml:space="preserve">The analytic sample was 30,996 adults with acceptable field spirometry, plausible values, and measured height; survey weights were applied throughout. Full derivation of the sample, the quality grading, and the equations is reported in two companion analyses from the same programme (the reference-equation comparison and the national reference-equation derivation); this paper consolidates their outputs to make a single methodological point.</w:t>
      </w:r>
    </w:p>
    <w:p>
      <w:pPr>
        <w:pStyle w:val="BodyText"/>
      </w:pPr>
      <w:r>
        <w:t xml:space="preserve">Airflow obstruction was defined by the FEV1/FVC ratio; among those with a preserved ratio, PRISm by a low FEV1 and RSP by a low FVC. Each was applied under eleven scenarios: five reference equations—GLI-2012 South-East Asian (the module embedded in the released LASI data), GLI-Global 2022 race-neutral,</w:t>
      </w:r>
      <w:r>
        <w:rPr>
          <w:vertAlign w:val="superscript"/>
        </w:rPr>
        <w:t xml:space="preserve">(7)</w:t>
      </w:r>
      <w:r>
        <w:t xml:space="preserve"> </w:t>
      </w:r>
      <w:r>
        <w:t xml:space="preserve">Chhabra-2014 (northern India),</w:t>
      </w:r>
      <w:r>
        <w:rPr>
          <w:vertAlign w:val="superscript"/>
        </w:rPr>
        <w:t xml:space="preserve">(8)</w:t>
      </w:r>
      <w:r>
        <w:t xml:space="preserve"> </w:t>
      </w:r>
      <w:r>
        <w:t xml:space="preserve">Agarwal-2020 (western India),</w:t>
      </w:r>
      <w:r>
        <w:rPr>
          <w:vertAlign w:val="superscript"/>
        </w:rPr>
        <w:t xml:space="preserve">(9)</w:t>
      </w:r>
      <w:r>
        <w:t xml:space="preserve"> </w:t>
      </w:r>
      <w:r>
        <w:t xml:space="preserve">and a nationally representative reference derived from LASI’s own respiratory-healthy participants—each with a fixed threshold (&lt;80% predicted) and the lower limit of normal (LLN, 5th centile), plus an internal healthy-subset LLN as an absolute floor. Reference computations used the validated</w:t>
      </w:r>
      <w:r>
        <w:t xml:space="preserve"> </w:t>
      </w:r>
      <w:r>
        <w:rPr>
          <w:rStyle w:val="VerbatimChar"/>
        </w:rPr>
        <w:t xml:space="preserve">pyspiro</w:t>
      </w:r>
      <w:r>
        <w:t xml:space="preserve"> </w:t>
      </w:r>
      <w:r>
        <w:t xml:space="preserve">implementation. Prevalence is survey-weighted with the reference and threshold as the only quantities varied.</w:t>
      </w:r>
    </w:p>
    <w:bookmarkEnd w:id="11"/>
    <w:bookmarkStart w:id="12" w:name="results"/>
    <w:p>
      <w:pPr>
        <w:pStyle w:val="Heading2"/>
      </w:pPr>
      <w:r>
        <w:t xml:space="preserve">Results</w:t>
      </w:r>
    </w:p>
    <w:p>
      <w:pPr>
        <w:pStyle w:val="FirstParagraph"/>
      </w:pPr>
      <w:r>
        <w:t xml:space="preserve">Across the eleven scenarios, the weighted prevalence of PRISm in the identical sample ranged from 3.9% to 46.3%—a 12-fold difference—and RSP from 4.9% to 46.7% (Table 1; Figure 1). Nothing about the participants changed between these numbers; only the reference equation and the threshold did.</w:t>
      </w:r>
    </w:p>
    <w:p>
      <w:pPr>
        <w:pStyle w:val="BodyText"/>
      </w:pPr>
      <w:r>
        <w:t xml:space="preserve">The scenarios stratified almost perfectly by reference family (Figure 1). The two global/foreign equations produced the highest estimates (PRISm 27.6% to 46.3%). The two regional Indian equations produced intermediate estimates (10.8% to 22.1%). The nationally representative LASI reference produced the lowest (3.9% to 11.9%). Within every reference, the LLN gave lower estimates than the fixed threshold, as expected, but the between-reference spread exceeded the within-reference threshold effect: the choice of</w:t>
      </w:r>
      <w:r>
        <w:t xml:space="preserve"> </w:t>
      </w:r>
      <w:r>
        <w:rPr>
          <w:i/>
          <w:iCs/>
        </w:rPr>
        <w:t xml:space="preserve">whose</w:t>
      </w:r>
      <w:r>
        <w:t xml:space="preserve"> </w:t>
      </w:r>
      <w:r>
        <w:t xml:space="preserve">lungs define normal mattered more than the choice of cut-off.</w:t>
      </w:r>
    </w:p>
    <w:p>
      <w:pPr>
        <w:pStyle w:val="BodyText"/>
      </w:pPr>
      <w:r>
        <w:t xml:space="preserve">Two features deserve emphasis. First, the race-neutral GLI-Global 2022 equations—designed to remove race-based correction and increasingly recommended—produced the single</w:t>
      </w:r>
      <w:r>
        <w:t xml:space="preserve"> </w:t>
      </w:r>
      <w:r>
        <w:rPr>
          <w:i/>
          <w:iCs/>
        </w:rPr>
        <w:t xml:space="preserve">highest</w:t>
      </w:r>
      <w:r>
        <w:t xml:space="preserve"> </w:t>
      </w:r>
      <w:r>
        <w:t xml:space="preserve">PRISm estimate (46.3%), because a single global average overshoots South Asian volumes by more than the older South-East Asian module does. A race-neutral reference is not a locally representative one. Second, the restrictive pattern behaved similarly to PRISm, so this is not a quirk of one definition but a general property of volume-based spirometric labels in a population that sits below its reference.</w:t>
      </w:r>
    </w:p>
    <w:bookmarkEnd w:id="12"/>
    <w:bookmarkStart w:id="13" w:name="discussion"/>
    <w:p>
      <w:pPr>
        <w:pStyle w:val="Heading2"/>
      </w:pPr>
      <w:r>
        <w:t xml:space="preserve">Discussion</w:t>
      </w:r>
    </w:p>
    <w:p>
      <w:pPr>
        <w:pStyle w:val="FirstParagraph"/>
      </w:pPr>
      <w:r>
        <w:t xml:space="preserve">Holding a nationally representative sample fixed and varying only the reference equation, the prevalence of PRISm moved twelve-fold. This is not measurement error or sampling noise; it is the reference equation doing the work that is usually attributed to the lungs. The practical consequence is stark: a prevalence estimate, or an individual diagnosis of restriction or PRISm, that does not specify and justify its reference equation is uninterpretable, and much of India’s reported non-obstructive spirometric burden is, in this precise sense, manufactured.</w:t>
      </w:r>
    </w:p>
    <w:p>
      <w:pPr>
        <w:pStyle w:val="BodyText"/>
      </w:pPr>
      <w:r>
        <w:t xml:space="preserve">The finding reframes several current debates. The move to race-neutral equations is motivated by equity, and rightly so where race-based correction has harmed patients; but our data show that a globally averaged reference does not serve South Asians, in whom it inflates abnormality further than the equation it replaces. Equity in interpretation requires references that represent the population being tested, not the abolition of population structure from the reference. Similarly, the regional Indian equations, though a clear improvement on GLI, still differ from one another and from a national estimate by clinically meaningful margins, because each represents one region rather than the country.</w:t>
      </w:r>
    </w:p>
    <w:p>
      <w:pPr>
        <w:pStyle w:val="BodyText"/>
      </w:pPr>
      <w:r>
        <w:t xml:space="preserve">The concept generalises beyond India. Any population whose lung volumes differ systematically from its reference will have a</w:t>
      </w:r>
      <w:r>
        <w:t xml:space="preserve"> </w:t>
      </w:r>
      <w:r>
        <w:t xml:space="preserve">“manufactured”</w:t>
      </w:r>
      <w:r>
        <w:t xml:space="preserve"> </w:t>
      </w:r>
      <w:r>
        <w:t xml:space="preserve">component to its restrictive and preserved-ratio burden—over-called where the reference is too high, under-called where too low. The remedy is not to abandon reference equations but to insist that prevalence claims and diagnoses travel with an explicit, justified, population-appropriate reference, and that sensitivity to that choice be reported as a matter of routine, exactly as we have done here.</w:t>
      </w:r>
    </w:p>
    <w:p>
      <w:pPr>
        <w:pStyle w:val="BodyText"/>
      </w:pPr>
      <w:r>
        <w:rPr>
          <w:b/>
          <w:bCs/>
        </w:rPr>
        <w:t xml:space="preserve">Limitations.</w:t>
      </w:r>
      <w:r>
        <w:t xml:space="preserve"> </w:t>
      </w:r>
      <w:r>
        <w:t xml:space="preserve">This is a deliberately narrow methodological paper: it quantifies the artefact but does not adjudicate which single reference is</w:t>
      </w:r>
      <w:r>
        <w:t xml:space="preserve"> </w:t>
      </w:r>
      <w:r>
        <w:t xml:space="preserve">“true,”</w:t>
      </w:r>
      <w:r>
        <w:t xml:space="preserve"> </w:t>
      </w:r>
      <w:r>
        <w:t xml:space="preserve">because that requires a definitive national standard that is still being built. The spirometry is field-grade and pre-bronchodilator, and the analysis is confined to adults aged ≥45 years; these constrain the absolute numbers but not the central finding, which concerns their variability. The internal healthy-subset floor is illustrative rather than a formal reference.</w:t>
      </w:r>
    </w:p>
    <w:bookmarkEnd w:id="13"/>
    <w:bookmarkStart w:id="14" w:name="conclusions"/>
    <w:p>
      <w:pPr>
        <w:pStyle w:val="Heading2"/>
      </w:pPr>
      <w:r>
        <w:t xml:space="preserve">Conclusions</w:t>
      </w:r>
    </w:p>
    <w:p>
      <w:pPr>
        <w:pStyle w:val="FirstParagraph"/>
      </w:pPr>
      <w:r>
        <w:t xml:space="preserve">In a single national sample, the prevalence of PRISm and the restrictive pattern was manufactured across a twelve-fold range by the reference equation alone, with foreign references—including modern race-neutral ones—producing the highest estimates and a nationally representative reference the lowest. Reference choice is not a background detail but the dominant determinant of non-obstructive spirometric</w:t>
      </w:r>
      <w:r>
        <w:t xml:space="preserve"> </w:t>
      </w:r>
      <w:r>
        <w:t xml:space="preserve">“morbidity”</w:t>
      </w:r>
      <w:r>
        <w:t xml:space="preserve"> </w:t>
      </w:r>
      <w:r>
        <w:t xml:space="preserve">in South Asia. Population-appropriate reference equations, and explicit reporting of reference sensitivity, are a precondition for credible respiratory epidemiology in this setting.</w:t>
      </w:r>
    </w:p>
    <w:bookmarkEnd w:id="14"/>
    <w:bookmarkStart w:id="15" w:name="declarations"/>
    <w:p>
      <w:pPr>
        <w:pStyle w:val="Heading2"/>
      </w:pPr>
      <w:r>
        <w:t xml:space="preserve">Declarations</w:t>
      </w:r>
    </w:p>
    <w:p>
      <w:pPr>
        <w:pStyle w:val="FirstParagraph"/>
      </w:pPr>
      <w:r>
        <w:rPr>
          <w:b/>
          <w:bCs/>
        </w:rPr>
        <w:t xml:space="preserve">Ethics:</w:t>
      </w:r>
      <w:r>
        <w:t xml:space="preserve"> </w:t>
      </w:r>
      <w:r>
        <w:t xml:space="preserve">Secondary analysis of de-identified, publicly available LASI Wave 1 data (ICMR approval and informed consent obtained by LASI); no additional approval required.</w:t>
      </w:r>
    </w:p>
    <w:p>
      <w:pPr>
        <w:pStyle w:val="BodyText"/>
      </w:pPr>
      <w:r>
        <w:rPr>
          <w:b/>
          <w:bCs/>
        </w:rPr>
        <w:t xml:space="preserve">Funding:</w:t>
      </w:r>
      <w:r>
        <w:t xml:space="preserve"> </w:t>
      </w:r>
      <w:r>
        <w:t xml:space="preserve">None.</w:t>
      </w:r>
      <w:r>
        <w:t xml:space="preserve"> </w:t>
      </w:r>
      <w:r>
        <w:rPr>
          <w:b/>
          <w:bCs/>
        </w:rPr>
        <w:t xml:space="preserve">Conflicts of interest:</w:t>
      </w:r>
      <w:r>
        <w:t xml:space="preserve"> </w:t>
      </w:r>
      <w:r>
        <w:t xml:space="preserve">None declared.</w:t>
      </w:r>
    </w:p>
    <w:p>
      <w:pPr>
        <w:pStyle w:val="BodyText"/>
      </w:pPr>
      <w:r>
        <w:rPr>
          <w:b/>
          <w:bCs/>
        </w:rPr>
        <w:t xml:space="preserve">Data availability:</w:t>
      </w:r>
      <w:r>
        <w:t xml:space="preserve"> </w:t>
      </w:r>
      <w:r>
        <w:t xml:space="preserve">LASI data via the Gateway to Global Aging Data (g2aging.org) and IIPS; consolidation code and the master grid are available from the author on reasonable request.</w:t>
      </w:r>
    </w:p>
    <w:p>
      <w:pPr>
        <w:pStyle w:val="BodyText"/>
      </w:pPr>
      <w:r>
        <w:rPr>
          <w:b/>
          <w:bCs/>
        </w:rPr>
        <w:t xml:space="preserve">Author contributions:</w:t>
      </w:r>
      <w:r>
        <w:t xml:space="preserve"> </w:t>
      </w:r>
      <w:r>
        <w:t xml:space="preserve">The single author conceived, analysed, drafted, and approved the work.</w:t>
      </w:r>
    </w:p>
    <w:p>
      <w:pPr>
        <w:pStyle w:val="BodyText"/>
      </w:pPr>
      <w:r>
        <w:rPr>
          <w:b/>
          <w:bCs/>
        </w:rPr>
        <w:t xml:space="preserve">Declaration of generative AI:</w:t>
      </w:r>
      <w:r>
        <w:t xml:space="preserve"> </w:t>
      </w:r>
      <w:r>
        <w:t xml:space="preserve">The author used a generative AI assistant for language editing and figure/analysis code; all conception, analysis, interpretation, and claims are the author’s own, numerically verified against the analysis and against primary sources, with full responsibility retained.</w:t>
      </w:r>
    </w:p>
    <w:bookmarkEnd w:id="15"/>
    <w:bookmarkStart w:id="16" w:name="references"/>
    <w:p>
      <w:pPr>
        <w:pStyle w:val="Heading2"/>
      </w:pPr>
      <w:r>
        <w:t xml:space="preserve">References</w:t>
      </w:r>
    </w:p>
    <w:p>
      <w:pPr>
        <w:pStyle w:val="Compact"/>
        <w:numPr>
          <w:ilvl w:val="0"/>
          <w:numId w:val="1001"/>
        </w:numPr>
      </w:pPr>
      <w:r>
        <w:t xml:space="preserve">Stanojevic S, Kaminsky DA, Miller MR, Thompson B, Aliverti A, Barjaktarevic I, et al. ERS/ATS technical standard on interpretive strategies for routine lung function tests. Eur Respir J. 2022;60(1):2101499.</w:t>
      </w:r>
    </w:p>
    <w:p>
      <w:pPr>
        <w:pStyle w:val="Compact"/>
        <w:numPr>
          <w:ilvl w:val="0"/>
          <w:numId w:val="1001"/>
        </w:numPr>
      </w:pPr>
      <w:r>
        <w:t xml:space="preserve">Culver BH, Graham BL, Coates AL, Wanger J, Berry CE, Clarke PK, et al. Recommendations for a standardized pulmonary function report. An official American Thoracic Society technical statement. Am J Respir Crit Care Med. 2017;196(11):1463-1472.</w:t>
      </w:r>
    </w:p>
    <w:p>
      <w:pPr>
        <w:pStyle w:val="Compact"/>
        <w:numPr>
          <w:ilvl w:val="0"/>
          <w:numId w:val="1001"/>
        </w:numPr>
      </w:pPr>
      <w:r>
        <w:t xml:space="preserve">Quanjer PH, Stanojevic S, Cole TJ, Baur X, Hall GL, Culver BH, et al. Multi-ethnic reference values for spirometry for the 3-95-yr age range: the global lung function 2012 equations. Eur Respir J. 2012;40(6):1324-1343.</w:t>
      </w:r>
    </w:p>
    <w:p>
      <w:pPr>
        <w:pStyle w:val="Compact"/>
        <w:numPr>
          <w:ilvl w:val="0"/>
          <w:numId w:val="1001"/>
        </w:numPr>
      </w:pPr>
      <w:r>
        <w:t xml:space="preserve">Sonnappa S, Lum S, Kirkby J, Bonner R, Wade A, Subramanya V, et al. Disparities in pulmonary function in healthy children across the Indian urban-rural continuum. Am J Respir Crit Care Med. 2015;191(1):79-86.</w:t>
      </w:r>
    </w:p>
    <w:p>
      <w:pPr>
        <w:pStyle w:val="Compact"/>
        <w:numPr>
          <w:ilvl w:val="0"/>
          <w:numId w:val="1001"/>
        </w:numPr>
      </w:pPr>
      <w:r>
        <w:t xml:space="preserve">Perianayagam A, Bloom D, Lee J, Parasuraman S, Sekher TV, Mohanty SK, et al. Cohort profile: the Longitudinal Ageing Study in India (LASI). Int J Epidemiol. 2022;51(4):e167-e176.</w:t>
      </w:r>
    </w:p>
    <w:p>
      <w:pPr>
        <w:pStyle w:val="Compact"/>
        <w:numPr>
          <w:ilvl w:val="0"/>
          <w:numId w:val="1001"/>
        </w:numPr>
      </w:pPr>
      <w:r>
        <w:t xml:space="preserve">International Institute for Population Sciences, Harvard T.H. Chan School of Public Health, University of Southern California. Longitudinal Ageing Study in India (LASI) Wave 1, 2017–18: India report. Mumbai: IIPS; 2020.</w:t>
      </w:r>
    </w:p>
    <w:p>
      <w:pPr>
        <w:pStyle w:val="Compact"/>
        <w:numPr>
          <w:ilvl w:val="0"/>
          <w:numId w:val="1001"/>
        </w:numPr>
      </w:pPr>
      <w:r>
        <w:t xml:space="preserve">Bowerman C, Bhakta NR, Brazzale D, Cooper BR, Cooper J, Gochicoa-Rangel L, et al. A race-neutral approach to the interpretation of lung function measurements. Am J Respir Crit Care Med. 2023;207(6):768-774.</w:t>
      </w:r>
    </w:p>
    <w:p>
      <w:pPr>
        <w:pStyle w:val="Compact"/>
        <w:numPr>
          <w:ilvl w:val="0"/>
          <w:numId w:val="1001"/>
        </w:numPr>
      </w:pPr>
      <w:r>
        <w:t xml:space="preserve">Chhabra SK, Kumar R, Gupta U, Rahman M, Dash DJ. Prediction equations for spirometry in adults from northern India. Indian J Chest Dis Allied Sci. 2014;56(4):221-229.</w:t>
      </w:r>
    </w:p>
    <w:p>
      <w:pPr>
        <w:pStyle w:val="Compact"/>
        <w:numPr>
          <w:ilvl w:val="0"/>
          <w:numId w:val="1001"/>
        </w:numPr>
      </w:pPr>
      <w:r>
        <w:t xml:space="preserve">Agarwal D, Parker RA, Pinnock H, Roy S, Ghorpade D, Salvi S, et al.; RESPIRE collaboration. Normal spirometry predictive values for the Western Indian adult population. Eur Respir J. 2020;56(3):1902129.</w:t>
      </w:r>
    </w:p>
    <w:bookmarkEnd w:id="16"/>
    <w:bookmarkStart w:id="17" w:name="tables"/>
    <w:p>
      <w:pPr>
        <w:pStyle w:val="Heading2"/>
      </w:pPr>
      <w:r>
        <w:t xml:space="preserve">Tables</w:t>
      </w:r>
    </w:p>
    <w:p>
      <w:pPr>
        <w:pStyle w:val="FirstParagraph"/>
      </w:pPr>
      <w:r>
        <w:rPr>
          <w:b/>
          <w:bCs/>
        </w:rPr>
        <w:t xml:space="preserve">Table 1. Weighted PRISm and RSP prevalence under eleven reference × definition scenarios (identical sample, n = 30,996).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Reference (family)</w:t>
            </w:r>
          </w:p>
        </w:tc>
        <w:tc>
          <w:tcPr/>
          <w:p>
            <w:pPr>
              <w:pStyle w:val="Compact"/>
            </w:pPr>
            <w:r>
              <w:t xml:space="preserve">Definition</w:t>
            </w:r>
          </w:p>
        </w:tc>
        <w:tc>
          <w:tcPr/>
          <w:p>
            <w:pPr>
              <w:pStyle w:val="Compact"/>
            </w:pPr>
            <w:r>
              <w:t xml:space="preserve">PRISm, %</w:t>
            </w:r>
          </w:p>
        </w:tc>
        <w:tc>
          <w:tcPr/>
          <w:p>
            <w:pPr>
              <w:pStyle w:val="Compact"/>
            </w:pPr>
            <w:r>
              <w:t xml:space="preserve">RSP, %</w:t>
            </w:r>
          </w:p>
        </w:tc>
      </w:tr>
      <w:tr>
        <w:tc>
          <w:tcPr/>
          <w:p>
            <w:pPr>
              <w:pStyle w:val="Compact"/>
            </w:pPr>
            <w:r>
              <w:t xml:space="preserve">GLI-Global 2022 race-neutral (global)</w:t>
            </w:r>
          </w:p>
        </w:tc>
        <w:tc>
          <w:tcPr/>
          <w:p>
            <w:pPr>
              <w:pStyle w:val="Compact"/>
            </w:pPr>
            <w:r>
              <w:t xml:space="preserve">Fixed</w:t>
            </w:r>
          </w:p>
        </w:tc>
        <w:tc>
          <w:tcPr/>
          <w:p>
            <w:pPr>
              <w:pStyle w:val="Compact"/>
            </w:pPr>
            <w:r>
              <w:t xml:space="preserve">46.3</w:t>
            </w:r>
          </w:p>
        </w:tc>
        <w:tc>
          <w:tcPr/>
          <w:p>
            <w:pPr>
              <w:pStyle w:val="Compact"/>
            </w:pPr>
            <w:r>
              <w:t xml:space="preserve">46.7</w:t>
            </w:r>
          </w:p>
        </w:tc>
      </w:tr>
      <w:tr>
        <w:tc>
          <w:tcPr/>
          <w:p>
            <w:pPr>
              <w:pStyle w:val="Compact"/>
            </w:pPr>
            <w:r>
              <w:t xml:space="preserve">GLI-2012 South-East Asian (global)</w:t>
            </w:r>
          </w:p>
        </w:tc>
        <w:tc>
          <w:tcPr/>
          <w:p>
            <w:pPr>
              <w:pStyle w:val="Compact"/>
            </w:pPr>
            <w:r>
              <w:t xml:space="preserve">Fixed</w:t>
            </w:r>
          </w:p>
        </w:tc>
        <w:tc>
          <w:tcPr/>
          <w:p>
            <w:pPr>
              <w:pStyle w:val="Compact"/>
            </w:pPr>
            <w:r>
              <w:t xml:space="preserve">40.6</w:t>
            </w:r>
          </w:p>
        </w:tc>
        <w:tc>
          <w:tcPr/>
          <w:p>
            <w:pPr>
              <w:pStyle w:val="Compact"/>
            </w:pPr>
            <w:r>
              <w:t xml:space="preserve">37.8</w:t>
            </w:r>
          </w:p>
        </w:tc>
      </w:tr>
      <w:tr>
        <w:tc>
          <w:tcPr/>
          <w:p>
            <w:pPr>
              <w:pStyle w:val="Compact"/>
            </w:pPr>
            <w:r>
              <w:t xml:space="preserve">GLI-Global 2022 race-neutral (global)</w:t>
            </w:r>
          </w:p>
        </w:tc>
        <w:tc>
          <w:tcPr/>
          <w:p>
            <w:pPr>
              <w:pStyle w:val="Compact"/>
            </w:pPr>
            <w:r>
              <w:t xml:space="preserve">LLN</w:t>
            </w:r>
          </w:p>
        </w:tc>
        <w:tc>
          <w:tcPr/>
          <w:p>
            <w:pPr>
              <w:pStyle w:val="Compact"/>
            </w:pPr>
            <w:r>
              <w:t xml:space="preserve">32.5</w:t>
            </w:r>
          </w:p>
        </w:tc>
        <w:tc>
          <w:tcPr/>
          <w:p>
            <w:pPr>
              <w:pStyle w:val="Compact"/>
            </w:pPr>
            <w:r>
              <w:t xml:space="preserve">33.7</w:t>
            </w:r>
          </w:p>
        </w:tc>
      </w:tr>
      <w:tr>
        <w:tc>
          <w:tcPr/>
          <w:p>
            <w:pPr>
              <w:pStyle w:val="Compact"/>
            </w:pPr>
            <w:r>
              <w:t xml:space="preserve">GLI-2012 South-East Asian (global)</w:t>
            </w:r>
          </w:p>
        </w:tc>
        <w:tc>
          <w:tcPr/>
          <w:p>
            <w:pPr>
              <w:pStyle w:val="Compact"/>
            </w:pPr>
            <w:r>
              <w:t xml:space="preserve">LLN</w:t>
            </w:r>
          </w:p>
        </w:tc>
        <w:tc>
          <w:tcPr/>
          <w:p>
            <w:pPr>
              <w:pStyle w:val="Compact"/>
            </w:pPr>
            <w:r>
              <w:t xml:space="preserve">27.6</w:t>
            </w:r>
          </w:p>
        </w:tc>
        <w:tc>
          <w:tcPr/>
          <w:p>
            <w:pPr>
              <w:pStyle w:val="Compact"/>
            </w:pPr>
            <w:r>
              <w:t xml:space="preserve">27.5</w:t>
            </w:r>
          </w:p>
        </w:tc>
      </w:tr>
      <w:tr>
        <w:tc>
          <w:tcPr/>
          <w:p>
            <w:pPr>
              <w:pStyle w:val="Compact"/>
            </w:pPr>
            <w:r>
              <w:t xml:space="preserve">Agarwal-2020 W India (regional)</w:t>
            </w:r>
          </w:p>
        </w:tc>
        <w:tc>
          <w:tcPr/>
          <w:p>
            <w:pPr>
              <w:pStyle w:val="Compact"/>
            </w:pPr>
            <w:r>
              <w:t xml:space="preserve">Fixed</w:t>
            </w:r>
          </w:p>
        </w:tc>
        <w:tc>
          <w:tcPr/>
          <w:p>
            <w:pPr>
              <w:pStyle w:val="Compact"/>
            </w:pPr>
            <w:r>
              <w:t xml:space="preserve">22.1</w:t>
            </w:r>
          </w:p>
        </w:tc>
        <w:tc>
          <w:tcPr/>
          <w:p>
            <w:pPr>
              <w:pStyle w:val="Compact"/>
            </w:pPr>
            <w:r>
              <w:t xml:space="preserve">27.5</w:t>
            </w:r>
          </w:p>
        </w:tc>
      </w:tr>
      <w:tr>
        <w:tc>
          <w:tcPr/>
          <w:p>
            <w:pPr>
              <w:pStyle w:val="Compact"/>
            </w:pPr>
            <w:r>
              <w:t xml:space="preserve">Chhabra-2014 N India (regional)</w:t>
            </w:r>
          </w:p>
        </w:tc>
        <w:tc>
          <w:tcPr/>
          <w:p>
            <w:pPr>
              <w:pStyle w:val="Compact"/>
            </w:pPr>
            <w:r>
              <w:t xml:space="preserve">Fixed</w:t>
            </w:r>
          </w:p>
        </w:tc>
        <w:tc>
          <w:tcPr/>
          <w:p>
            <w:pPr>
              <w:pStyle w:val="Compact"/>
            </w:pPr>
            <w:r>
              <w:t xml:space="preserve">18.6</w:t>
            </w:r>
          </w:p>
        </w:tc>
        <w:tc>
          <w:tcPr/>
          <w:p>
            <w:pPr>
              <w:pStyle w:val="Compact"/>
            </w:pPr>
            <w:r>
              <w:t xml:space="preserve">32.9</w:t>
            </w:r>
          </w:p>
        </w:tc>
      </w:tr>
      <w:tr>
        <w:tc>
          <w:tcPr/>
          <w:p>
            <w:pPr>
              <w:pStyle w:val="Compact"/>
            </w:pPr>
            <w:r>
              <w:t xml:space="preserve">LASI national (national)</w:t>
            </w:r>
          </w:p>
        </w:tc>
        <w:tc>
          <w:tcPr/>
          <w:p>
            <w:pPr>
              <w:pStyle w:val="Compact"/>
            </w:pPr>
            <w:r>
              <w:t xml:space="preserve">Fixed</w:t>
            </w:r>
          </w:p>
        </w:tc>
        <w:tc>
          <w:tcPr/>
          <w:p>
            <w:pPr>
              <w:pStyle w:val="Compact"/>
            </w:pPr>
            <w:r>
              <w:t xml:space="preserve">11.9</w:t>
            </w:r>
          </w:p>
        </w:tc>
        <w:tc>
          <w:tcPr/>
          <w:p>
            <w:pPr>
              <w:pStyle w:val="Compact"/>
            </w:pPr>
            <w:r>
              <w:t xml:space="preserve">12.9</w:t>
            </w:r>
          </w:p>
        </w:tc>
      </w:tr>
      <w:tr>
        <w:tc>
          <w:tcPr/>
          <w:p>
            <w:pPr>
              <w:pStyle w:val="Compact"/>
            </w:pPr>
            <w:r>
              <w:t xml:space="preserve">Agarwal-2020 W India (regional)</w:t>
            </w:r>
          </w:p>
        </w:tc>
        <w:tc>
          <w:tcPr/>
          <w:p>
            <w:pPr>
              <w:pStyle w:val="Compact"/>
            </w:pPr>
            <w:r>
              <w:t xml:space="preserve">LLN</w:t>
            </w:r>
          </w:p>
        </w:tc>
        <w:tc>
          <w:tcPr/>
          <w:p>
            <w:pPr>
              <w:pStyle w:val="Compact"/>
            </w:pPr>
            <w:r>
              <w:t xml:space="preserve">11.8</w:t>
            </w:r>
          </w:p>
        </w:tc>
        <w:tc>
          <w:tcPr/>
          <w:p>
            <w:pPr>
              <w:pStyle w:val="Compact"/>
            </w:pPr>
            <w:r>
              <w:t xml:space="preserve">18.8</w:t>
            </w:r>
          </w:p>
        </w:tc>
      </w:tr>
      <w:tr>
        <w:tc>
          <w:tcPr/>
          <w:p>
            <w:pPr>
              <w:pStyle w:val="Compact"/>
            </w:pPr>
            <w:r>
              <w:t xml:space="preserve">Chhabra-2014 N India (regional)</w:t>
            </w:r>
          </w:p>
        </w:tc>
        <w:tc>
          <w:tcPr/>
          <w:p>
            <w:pPr>
              <w:pStyle w:val="Compact"/>
            </w:pPr>
            <w:r>
              <w:t xml:space="preserve">LLN</w:t>
            </w:r>
          </w:p>
        </w:tc>
        <w:tc>
          <w:tcPr/>
          <w:p>
            <w:pPr>
              <w:pStyle w:val="Compact"/>
            </w:pPr>
            <w:r>
              <w:t xml:space="preserve">10.8</w:t>
            </w:r>
          </w:p>
        </w:tc>
        <w:tc>
          <w:tcPr/>
          <w:p>
            <w:pPr>
              <w:pStyle w:val="Compact"/>
            </w:pPr>
            <w:r>
              <w:t xml:space="preserve">26.6</w:t>
            </w:r>
          </w:p>
        </w:tc>
      </w:tr>
      <w:tr>
        <w:tc>
          <w:tcPr/>
          <w:p>
            <w:pPr>
              <w:pStyle w:val="Compact"/>
            </w:pPr>
            <w:r>
              <w:t xml:space="preserve">LASI national (national)</w:t>
            </w:r>
          </w:p>
        </w:tc>
        <w:tc>
          <w:tcPr/>
          <w:p>
            <w:pPr>
              <w:pStyle w:val="Compact"/>
            </w:pPr>
            <w:r>
              <w:t xml:space="preserve">LLN</w:t>
            </w:r>
          </w:p>
        </w:tc>
        <w:tc>
          <w:tcPr/>
          <w:p>
            <w:pPr>
              <w:pStyle w:val="Compact"/>
            </w:pPr>
            <w:r>
              <w:t xml:space="preserve">5.3</w:t>
            </w:r>
          </w:p>
        </w:tc>
        <w:tc>
          <w:tcPr/>
          <w:p>
            <w:pPr>
              <w:pStyle w:val="Compact"/>
            </w:pPr>
            <w:r>
              <w:t xml:space="preserve">6.2</w:t>
            </w:r>
          </w:p>
        </w:tc>
      </w:tr>
      <w:tr>
        <w:tc>
          <w:tcPr/>
          <w:p>
            <w:pPr>
              <w:pStyle w:val="Compact"/>
            </w:pPr>
            <w:r>
              <w:t xml:space="preserve">Internal healthy-subset floor (national)</w:t>
            </w:r>
          </w:p>
        </w:tc>
        <w:tc>
          <w:tcPr/>
          <w:p>
            <w:pPr>
              <w:pStyle w:val="Compact"/>
            </w:pPr>
            <w:r>
              <w:t xml:space="preserve">LLN</w:t>
            </w:r>
          </w:p>
        </w:tc>
        <w:tc>
          <w:tcPr/>
          <w:p>
            <w:pPr>
              <w:pStyle w:val="Compact"/>
            </w:pPr>
            <w:r>
              <w:t xml:space="preserve">3.9</w:t>
            </w:r>
          </w:p>
        </w:tc>
        <w:tc>
          <w:tcPr/>
          <w:p>
            <w:pPr>
              <w:pStyle w:val="Compact"/>
            </w:pPr>
            <w:r>
              <w:t xml:space="preserve">4.9</w:t>
            </w:r>
          </w:p>
        </w:tc>
      </w:tr>
    </w:tbl>
    <w:p>
      <w:pPr>
        <w:pStyle w:val="BodyText"/>
      </w:pPr>
      <w:r>
        <w:t xml:space="preserve">Range: PRISm 3.9–46.3% (≈12-fold); RSP 4.9–46.7%. Only the reference and threshold differ between rows.</w:t>
      </w:r>
    </w:p>
    <w:bookmarkEnd w:id="17"/>
    <w:bookmarkStart w:id="18" w:name="figure-legend"/>
    <w:p>
      <w:pPr>
        <w:pStyle w:val="Heading2"/>
      </w:pPr>
      <w:r>
        <w:t xml:space="preserve">Figure legend</w:t>
      </w:r>
    </w:p>
    <w:p>
      <w:pPr>
        <w:pStyle w:val="FirstParagraph"/>
      </w:pPr>
      <w:r>
        <w:rPr>
          <w:b/>
          <w:bCs/>
        </w:rPr>
        <w:t xml:space="preserve">Figure 1.</w:t>
      </w:r>
      <w:r>
        <w:t xml:space="preserve"> </w:t>
      </w:r>
      <w:r>
        <w:t xml:space="preserve">Weighted PRISm prevalence in the identical national sample under eleven reference × definition scenarios, coloured by reference family (global/foreign, regional Indian, national Indian). The estimate is manufactured across a 12-fold range, stratifying cleanly by reference family, with foreign references—including the race-neutral GLI-Global—highest and the nationally representative reference lowest.</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2026-07-08T04:17:55Z</dcterms:created>
  <dcterms:modified xsi:type="dcterms:W3CDTF">2026-07-08T04:17:55Z</dcterms:modified>
</cp:coreProperties>
</file>

<file path=docProps/custom.xml><?xml version="1.0" encoding="utf-8"?>
<Properties xmlns="http://schemas.openxmlformats.org/officeDocument/2006/custom-properties" xmlns:vt="http://schemas.openxmlformats.org/officeDocument/2006/docPropsVTypes"/>
</file>