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materials</w:t>
      </w:r>
    </w:p>
    <w:p>
      <w:pPr>
        <w:pStyle w:val="Heading1"/>
      </w:pPr>
      <w:r>
        <w:t>S1. Included-study characteristics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source</w:t>
            </w:r>
          </w:p>
        </w:tc>
        <w:tc>
          <w:tcPr>
            <w:tcW w:type="dxa" w:w="1080"/>
          </w:tcPr>
          <w:p>
            <w:r>
              <w:t>source_id</w:t>
            </w:r>
          </w:p>
        </w:tc>
        <w:tc>
          <w:tcPr>
            <w:tcW w:type="dxa" w:w="1080"/>
          </w:tcPr>
          <w:p>
            <w:r>
              <w:t>doi</w:t>
            </w:r>
          </w:p>
        </w:tc>
        <w:tc>
          <w:tcPr>
            <w:tcW w:type="dxa" w:w="1080"/>
          </w:tcPr>
          <w:p>
            <w:r>
              <w:t>pmid</w:t>
            </w:r>
          </w:p>
        </w:tc>
        <w:tc>
          <w:tcPr>
            <w:tcW w:type="dxa" w:w="1080"/>
          </w:tcPr>
          <w:p>
            <w:r>
              <w:t>title</w:t>
            </w:r>
          </w:p>
        </w:tc>
        <w:tc>
          <w:tcPr>
            <w:tcW w:type="dxa" w:w="1080"/>
          </w:tcPr>
          <w:p>
            <w:r>
              <w:t>abstract</w:t>
            </w:r>
          </w:p>
        </w:tc>
        <w:tc>
          <w:tcPr>
            <w:tcW w:type="dxa" w:w="1080"/>
          </w:tcPr>
          <w:p>
            <w:r>
              <w:t>authors</w:t>
            </w:r>
          </w:p>
        </w:tc>
        <w:tc>
          <w:tcPr>
            <w:tcW w:type="dxa" w:w="1080"/>
          </w:tcPr>
          <w:p>
            <w:r>
              <w:t>year</w:t>
            </w:r>
          </w:p>
        </w:tc>
      </w:tr>
      <w:tr>
        <w:tc>
          <w:tcPr>
            <w:tcW w:type="dxa" w:w="1080"/>
          </w:tcPr>
          <w:p>
            <w:r>
              <w:t>europepmc</w:t>
            </w:r>
          </w:p>
        </w:tc>
        <w:tc>
          <w:tcPr>
            <w:tcW w:type="dxa" w:w="1080"/>
          </w:tcPr>
          <w:p>
            <w:r>
              <w:t>41677077</w:t>
            </w:r>
          </w:p>
        </w:tc>
        <w:tc>
          <w:tcPr>
            <w:tcW w:type="dxa" w:w="1080"/>
          </w:tcPr>
          <w:p>
            <w:r>
              <w:t>10.1111/acel.70376</w:t>
            </w:r>
          </w:p>
        </w:tc>
        <w:tc>
          <w:tcPr>
            <w:tcW w:type="dxa" w:w="1080"/>
          </w:tcPr>
          <w:p>
            <w:r>
              <w:t>41677077.0</w:t>
            </w:r>
          </w:p>
        </w:tc>
        <w:tc>
          <w:tcPr>
            <w:tcW w:type="dxa" w:w="1080"/>
          </w:tcPr>
          <w:p>
            <w:r>
              <w:t>A Multidomain Lifestyle Intervention Is Associated With Improved Functional Trajectories and Favorable Changes in Epigenetic Aging Markers in Frail Older Adults: A Randomized Controlled Trial.</w:t>
            </w:r>
          </w:p>
        </w:tc>
        <w:tc>
          <w:tcPr>
            <w:tcW w:type="dxa" w:w="1080"/>
          </w:tcPr>
          <w:p>
            <w:r>
              <w:t>Frailty emerges as the intermediate stage preceding disability, but there is a gap in molecular signatures for early detection of subclinical cellular changes, which could help predict frailty onset or the effectiveness of interventions. In this randomized, controlled study, we assessed phenotypical and functional changes in frail individuals before and after a 6-month multidomain lifestyle intervention (nutritional supplement and supervised exercise) vs habitual care. We also analyzed whole-blood methylome, including five epigenetic clocks, a DNA methylation-based telomere length estimator, and the Rate of Epigenetic Aging (REA). Between October 2019 and July 2022, we recruited 47 frail, community-dwelling individuals in Spain. Mean age was 80.2 years (SD 3.1) in the control group (CG; n = 19) and 80.5 years (4.3) in the intervention group (IG; n = 28). Compared with the CG, a significant reduction in frailty, assessed by the SHARE-FI score, was observed in the IG (p &lt; 0.0001). The IG also showed improved grip strength (p = 0.0053), gait speed (p = 0.0125), the Tinetti score (p = 0.0031), and Barthel Index (p = 0.0484). The intervention was also associated with statistically significant improvements in nutritional blood markers, indicators of biological aging, including reduced DNAm PhenoAge (p = 0.0253) and preserved telomere length (p = 0.0246). REA using DNAm PhenoAge indicated an acceleration of epigenetic aging in the CG (p = 0.0300). Other epigenetic clocks showed nonsignificant changes. Our findings suggest potential geroprotective effects of a multidomain intervention and indicate that DNAm PhenoAge and methylation-based telomere length may serve as complementary markers for assessing health span-related changes in frail older adults. Trial Registration: This trial was retrospectively registered: NCT06975540.</w:t>
            </w:r>
          </w:p>
        </w:tc>
        <w:tc>
          <w:tcPr>
            <w:tcW w:type="dxa" w:w="1080"/>
          </w:tcPr>
          <w:p>
            <w:r>
              <w:t>Olaso-Gonzalez G, Millan-Domingo F, Garcia-Fernandez L, Garcia-Tercero E, Cebrian M, Garcia-Dominguez C, Carbonell JA, Casabo-Valles G, Garcia-Gimenez JL, Tamayo-Torres E, Gambini J, Tarazona-Santabalbina FJ, Vina J, Gomez-Cabrera MC.</w:t>
            </w:r>
          </w:p>
        </w:tc>
        <w:tc>
          <w:tcPr>
            <w:tcW w:type="dxa" w:w="1080"/>
          </w:tcPr>
          <w:p>
            <w:r>
              <w:t>2026.0</w:t>
            </w:r>
          </w:p>
        </w:tc>
      </w:tr>
      <w:tr>
        <w:tc>
          <w:tcPr>
            <w:tcW w:type="dxa" w:w="1080"/>
          </w:tcPr>
          <w:p>
            <w:r>
              <w:t>europepmc</w:t>
            </w:r>
          </w:p>
        </w:tc>
        <w:tc>
          <w:tcPr>
            <w:tcW w:type="dxa" w:w="1080"/>
          </w:tcPr>
          <w:p>
            <w:r>
              <w:t>40297922</w:t>
            </w:r>
          </w:p>
        </w:tc>
        <w:tc>
          <w:tcPr>
            <w:tcW w:type="dxa" w:w="1080"/>
          </w:tcPr>
          <w:p>
            <w:r>
              <w:t>10.1080/07853890.2025.2496409</w:t>
            </w:r>
          </w:p>
        </w:tc>
        <w:tc>
          <w:tcPr>
            <w:tcW w:type="dxa" w:w="1080"/>
          </w:tcPr>
          <w:p>
            <w:r>
              <w:t>40297922.0</w:t>
            </w:r>
          </w:p>
        </w:tc>
        <w:tc>
          <w:tcPr>
            <w:tcW w:type="dxa" w:w="1080"/>
          </w:tcPr>
          <w:p>
            <w:r>
              <w:t>Multidomain intervention for delaying aging in community-dwelling older adults (MIDA): study design and protocol.</w:t>
            </w:r>
          </w:p>
        </w:tc>
        <w:tc>
          <w:tcPr>
            <w:tcW w:type="dxa" w:w="1080"/>
          </w:tcPr>
          <w:p>
            <w:r>
              <w:t>&lt;h4&gt;Background&lt;/h4&gt;The exploration of interventions to delay aging is an emerging topic that promotes healthy aging. The multidomain intervention has the potential to be applied in the field of aging because it concentrates on the functional ability of older adults. There is currently no literature reporting on a multidomain intervention involving cognition, exercise and nutrition for delaying aging.&lt;h4&gt;Methods&lt;/h4&gt;The Multidomain Intervention for Delaying Aging in Community-dwelling Older Adults (MIDA) is a Zelen-design randomized controlled trial with a 6-month intervention duration. The multidomain intervention comprises cognitive training, exercise training, and nutritional guidance, delivered through both group sessions and individual family interventions. A total of 248 participants aged 60 to 85 years will be randomized to the intervention group or control group and followed up for 12 months. The primary outcome is the change in epigenetic age acceleration and pace of aging following the multidomain intervention. The secondary outcomes are the changes in frailty score and intrinsic capacity Z-score. Other outcomes include physical functions, body composition, aging biomarkers, inflammatory markers, haematology and biochemistry parameters, and lifestyle factors.&lt;h4&gt;Conclusions&lt;/h4&gt;This study will explore the effects of the multidomain intervention on delaying aging in community-dwelling older adults. We aim to introduce a new approach to delaying aging and offer a practical multidomain intervention strategy for healthcare institutions.</w:t>
            </w:r>
          </w:p>
        </w:tc>
        <w:tc>
          <w:tcPr>
            <w:tcW w:type="dxa" w:w="1080"/>
          </w:tcPr>
          <w:p>
            <w:r>
              <w:t>Lin S, Wang F, Huang M, Chen J, Jiang X, Li Q, Yuan Y, Huang F, Zhu P.</w:t>
            </w:r>
          </w:p>
        </w:tc>
        <w:tc>
          <w:tcPr>
            <w:tcW w:type="dxa" w:w="1080"/>
          </w:tcPr>
          <w:p>
            <w:r>
              <w:t>2025.0</w:t>
            </w:r>
          </w:p>
        </w:tc>
      </w:tr>
      <w:tr>
        <w:tc>
          <w:tcPr>
            <w:tcW w:type="dxa" w:w="1080"/>
          </w:tcPr>
          <w:p>
            <w:r>
              <w:t>europepmc</w:t>
            </w:r>
          </w:p>
        </w:tc>
        <w:tc>
          <w:tcPr>
            <w:tcW w:type="dxa" w:w="1080"/>
          </w:tcPr>
          <w:p>
            <w:r>
              <w:t>PPR1093052</w:t>
            </w:r>
          </w:p>
        </w:tc>
        <w:tc>
          <w:tcPr>
            <w:tcW w:type="dxa" w:w="1080"/>
          </w:tcPr>
          <w:p>
            <w:r>
              <w:t>10.1101/2025.09.25.678652</w:t>
            </w:r>
          </w:p>
        </w:tc>
        <w:tc>
          <w:tcPr>
            <w:tcW w:type="dxa" w:w="1080"/>
          </w:tcPr>
          <w:p>
            <w:r/>
          </w:p>
        </w:tc>
        <w:tc>
          <w:tcPr>
            <w:tcW w:type="dxa" w:w="1080"/>
          </w:tcPr>
          <w:p>
            <w:r>
              <w:t>Early-life nutrition supplementation and epigenetic age in middle-adulthood among Guatemalan adults</w:t>
            </w:r>
          </w:p>
        </w:tc>
        <w:tc>
          <w:tcPr>
            <w:tcW w:type="dxa" w:w="1080"/>
          </w:tcPr>
          <w:p>
            <w:r>
              <w:t>&lt;h4&gt;Objectives&lt;/h4&gt;  Epigenetic clocks are biomarkers of aging. Epigenetic clocks are associated with early-life famine exposure. We investigated the impact of a cluster-randomized early-life nutrition intervention on epigenetic age. &lt;h4&gt;Methods&lt;/h4&gt;  We analyzed follow-up data from participants in the INCAP Nutrition Supplementation Trial, conducted in 4 villages in eastern Guatemala. DNA methylation was measured in buffy coat samples using the Illumina Infinium TM MethylationEPICv2.0 array and standard quality control procedures. Epigenetic age was quantified using DunedinPACE, PhenoAge, and GrimAge. PhenoAge and GrimAge acceleration were calculated as residuals by regressing epigenetic age on chronological age. We used intent-to-treat difference-in-difference modeling to assess the impact of a protein-energy supplement provided during the first 1,000 days of life (conception to age 2y) on epigenetic age in middle adulthood. Covariates included sex, birth year, the trial supplement type (atole [intervention] vs. fresco [control]), exposure period of supplement (any of the first 1,000 days, other), and a random effect to account for sibships. The primary coefficient of interest was represented by the interaction between supplement type and exposure period. &lt;h4&gt;Results&lt;/h4&gt;  The analysis included 1095 participants (mean age 45.0 y (SD 4.3); 60.3 % female, 40.3 % exposed to any atole during the first 1,000 days, mean DunedinPACE 1.2 (SD 0.1), Phenoage 46.7 y (SD 6.7), and GrimAge 56.3 y (SD 4.1). In difference-in-difference analyses, exposure to atole during any of the first 1,000-day period was associated with lower DunedinPACE (- 0.03, 95% CI -0.06, -0.004), PhenoAge acceleration (- 1.91 y, 95% CI -3.43, -0.39), and GrimAge acceleration (−0.85 y, 95% CI -1.53, -0.11) compared to other exposures. Following additional adjustment for cell type proportions, the direction of the coefficients remained the same but were no longer statistically significant. &lt;h4&gt;Conclusions&lt;/h4&gt;  Exposure to atole during the first 1,000 days was associated with modest reductions in epigenetic age as measured by DunedinPACE, PhenoAge, and GrimAge. These findings complement prior evidence of epigenetic age acceleration among individuals with early-life famine exposure.</w:t>
            </w:r>
          </w:p>
        </w:tc>
        <w:tc>
          <w:tcPr>
            <w:tcW w:type="dxa" w:w="1080"/>
          </w:tcPr>
          <w:p>
            <w:r>
              <w:t>Chapnick M, Yu EA, Smith AK, Conneely KN, Ramírez-Zea M, Qin Z, Staimez LR, Vaccarino V, Stein AD.</w:t>
            </w:r>
          </w:p>
        </w:tc>
        <w:tc>
          <w:tcPr>
            <w:tcW w:type="dxa" w:w="1080"/>
          </w:tcPr>
          <w:p>
            <w:r>
              <w:t>2025.0</w:t>
            </w:r>
          </w:p>
        </w:tc>
      </w:tr>
      <w:tr>
        <w:tc>
          <w:tcPr>
            <w:tcW w:type="dxa" w:w="1080"/>
          </w:tcPr>
          <w:p>
            <w:r>
              <w:t>europepmc</w:t>
            </w:r>
          </w:p>
        </w:tc>
        <w:tc>
          <w:tcPr>
            <w:tcW w:type="dxa" w:w="1080"/>
          </w:tcPr>
          <w:p>
            <w:r>
              <w:t>41985884</w:t>
            </w:r>
          </w:p>
        </w:tc>
        <w:tc>
          <w:tcPr>
            <w:tcW w:type="dxa" w:w="1080"/>
          </w:tcPr>
          <w:p>
            <w:r>
              <w:t>10.1002/jcsm.70274</w:t>
            </w:r>
          </w:p>
        </w:tc>
        <w:tc>
          <w:tcPr>
            <w:tcW w:type="dxa" w:w="1080"/>
          </w:tcPr>
          <w:p>
            <w:r>
              <w:t>41985884.0</w:t>
            </w:r>
          </w:p>
        </w:tc>
        <w:tc>
          <w:tcPr>
            <w:tcW w:type="dxa" w:w="1080"/>
          </w:tcPr>
          <w:p>
            <w:r>
              <w:t>Exercise and Weekly Sirolimus (Rapamycin) in Older Adults: RAPA-EX-01 Randomised, Double-Blind, Placebo-Controlled Trial.</w:t>
            </w:r>
          </w:p>
        </w:tc>
        <w:tc>
          <w:tcPr>
            <w:tcW w:type="dxa" w:w="1080"/>
          </w:tcPr>
          <w:p>
            <w:r>
              <w:t>&lt;h4&gt;Background&lt;/h4&gt;Preclinical models suggest alternating activation and inhibition of mechanistic target of rapamycin complex 1 (mTORC1) could enhance adaptation to exercise ('cycling hypothesis'). Whether this concept translates to older adults is unknown. This exploratory trial assessed whether once-weekly sirolimus (rapamycin) 6 mg enhances or inhibits functional gains from a home-based exercise programme.&lt;h4&gt;Methods&lt;/h4&gt;In this randomised, double-blind, placebo-controlled trial, 40 sedentary adults aged 65-85 years (mean 72.2 years; 47.5% female) were assigned (1:1) to sirolimus (rapamycin) 6 mg or matched placebo once weekly for 13 weeks. Both groups performed a standardised home-based resistance (chair-stands) and endurance (exercycle) programme three times/week. The primary outcome was the change in 30-s chair-stand repetitions at 13 weeks (intention-to-treat; ANCOVA adjusted for baseline performance, age stratum and sex). Complete-case (CC) and per-protocol (PP) analyses were prespecified sensitivity analyses. Secondary outcomes included grip strength, 6-min walk distance, SF-36 physical and mental component scores, C-reactive protein and several epigenetic age measures. Safety was assessed through adverse-event monitoring and laboratory tests.&lt;h4&gt;Results&lt;/h4&gt;Both groups improved chair-stand performance. The primary intention-to-treat analysis showed an adjusted mean difference (sirolimus-placebo) of -2.13 repetitions (95% CI -4.61 to 0.34; p = 0.089). Sensitivity analyses favoured placebo and reached statistical significance: complete-case analysis (16 sirolimus, 19 placebo) showed a difference of -2.46 repetitions (95% CI -4.87 to -0.06; p = 0.045) and per-protocol analysis (15 sirolimus, 16 placebo) showed -3.44 repetitions (95% CI -5.86 to -0.99; p = 0.007). Secondary functional outcomes also favoured placebo but were not statistically significant: the adjusted mean difference for 6MWD was -4.87 m (95% CI -28.97 to 19.71; p = 0.706) and for grip strength was -1.13 kg (95% CI -3.52 to 1.18; p = 0.344). SF-36 scores showed small, non-significant differences favouring placebo. Quality-of-life scores showed small, non-significant differences favouring placebo. Seventeen participants (85%) in each arm reported ≥ 1 adverse event, but the total burden was higher with sirolimus (99 vs. 63 events), including one possibly drug-related serious adverse event (pneumonia).&lt;h4&gt;Conclusion&lt;/h4&gt;In this exploratory trial, once-weekly sirolimus (rapamycin) 6 mg did not enhance, and in sensitivity analyses, it may have modestly attenuated short-term functional improvements from a home exercise programme in older adults. The regimen also increased the burden of minor adverse events and may have contributed to one serious infection. Future trials with longer treatment duration or less frequent/lower dosing are needed to determine whether a favourable benefit-risk profile can be achieved.&lt;h4&gt;Trial registration&lt;/h4&gt;ACTRN12624000790549.</w:t>
            </w:r>
          </w:p>
        </w:tc>
        <w:tc>
          <w:tcPr>
            <w:tcW w:type="dxa" w:w="1080"/>
          </w:tcPr>
          <w:p>
            <w:r>
              <w:t>Stanfield B, Leroux B, Kaeberlein M, Jones J, Lucas R.</w:t>
            </w:r>
          </w:p>
        </w:tc>
        <w:tc>
          <w:tcPr>
            <w:tcW w:type="dxa" w:w="1080"/>
          </w:tcPr>
          <w:p>
            <w:r>
              <w:t>2026.0</w:t>
            </w:r>
          </w:p>
        </w:tc>
      </w:tr>
      <w:tr>
        <w:tc>
          <w:tcPr>
            <w:tcW w:type="dxa" w:w="1080"/>
          </w:tcPr>
          <w:p>
            <w:r>
              <w:t>europepmc</w:t>
            </w:r>
          </w:p>
        </w:tc>
        <w:tc>
          <w:tcPr>
            <w:tcW w:type="dxa" w:w="1080"/>
          </w:tcPr>
          <w:p>
            <w:r>
              <w:t>41354984</w:t>
            </w:r>
          </w:p>
        </w:tc>
        <w:tc>
          <w:tcPr>
            <w:tcW w:type="dxa" w:w="1080"/>
          </w:tcPr>
          <w:p>
            <w:r>
              <w:t>10.1038/s41514-025-00298-x</w:t>
            </w:r>
          </w:p>
        </w:tc>
        <w:tc>
          <w:tcPr>
            <w:tcW w:type="dxa" w:w="1080"/>
          </w:tcPr>
          <w:p>
            <w:r>
              <w:t>41354984.0</w:t>
            </w:r>
          </w:p>
        </w:tc>
        <w:tc>
          <w:tcPr>
            <w:tcW w:type="dxa" w:w="1080"/>
          </w:tcPr>
          <w:p>
            <w:r>
              <w:t>Dietary fatty acids and epigenetic aging in US adults: results from the National Health and Nutrition Examination Survey.</w:t>
            </w:r>
          </w:p>
        </w:tc>
        <w:tc>
          <w:tcPr>
            <w:tcW w:type="dxa" w:w="1080"/>
          </w:tcPr>
          <w:p>
            <w:r>
              <w:t>Fatty acids are involved in disease risk and aging processes. In the US National Health and Nutrition Examination Survey (1999-2002), we tested for associations of total, saturated (SFA), monounsaturated (MUFA), polyunsaturated (PUFA), and subtypes of dietary fatty acids with DNA methylation-based aging biomarkers, adjusting for age, BMI, total energy intake, and sociodemographic and behavioral factors (N = 2260). Higher SFA and MUFA were associated with greater GrimAge2, an aging biomarker of mortality; PUFA was associated with lower Horvath1, Hannum, and PhenoAge (p &lt; 0.05). Omega-3 and the PUFA:SFA ratio were negatively associated with Horvath1, Hannum, Vidal-Bralo, and PhenoAge. Notably, a one-unit increase in PUFA:SFA was associated with 1.05 years lower PhenoAge (95% CI = -1.87, -0.22). We found consistent positive associations for SFA subtypes and negative associations for PUFA subtypes with epigenetic aging; associations of MUFA subtypes varied. Future studies, including randomized controlled trials, are needed to investigate causality and downstream clinical outcomes.</w:t>
            </w:r>
          </w:p>
        </w:tc>
        <w:tc>
          <w:tcPr>
            <w:tcW w:type="dxa" w:w="1080"/>
          </w:tcPr>
          <w:p>
            <w:r>
              <w:t>Bozack AK, Khodasevich D, Nwanaji-Enwerem JC, Gladish N, Shen H, Daredia S, Needham BL, Rehkopf DH, Guasch-Ferre M, Cardenas A.</w:t>
            </w:r>
          </w:p>
        </w:tc>
        <w:tc>
          <w:tcPr>
            <w:tcW w:type="dxa" w:w="1080"/>
          </w:tcPr>
          <w:p>
            <w:r>
              <w:t>2025.0</w:t>
            </w:r>
          </w:p>
        </w:tc>
      </w:tr>
      <w:tr>
        <w:tc>
          <w:tcPr>
            <w:tcW w:type="dxa" w:w="1080"/>
          </w:tcPr>
          <w:p>
            <w:r>
              <w:t>europepmc</w:t>
            </w:r>
          </w:p>
        </w:tc>
        <w:tc>
          <w:tcPr>
            <w:tcW w:type="dxa" w:w="1080"/>
          </w:tcPr>
          <w:p>
            <w:r>
              <w:t>41717034</w:t>
            </w:r>
          </w:p>
        </w:tc>
        <w:tc>
          <w:tcPr>
            <w:tcW w:type="dxa" w:w="1080"/>
          </w:tcPr>
          <w:p>
            <w:r>
              <w:t>10.3389/fnut.2026.1750030</w:t>
            </w:r>
          </w:p>
        </w:tc>
        <w:tc>
          <w:tcPr>
            <w:tcW w:type="dxa" w:w="1080"/>
          </w:tcPr>
          <w:p>
            <w:r>
              <w:t>41717034.0</w:t>
            </w:r>
          </w:p>
        </w:tc>
        <w:tc>
          <w:tcPr>
            <w:tcW w:type="dxa" w:w="1080"/>
          </w:tcPr>
          <w:p>
            <w:r>
              <w:t>Epigenetic and microbiome responses to greens supplementation in obese older adults: results from a randomized crossover-controlled trial.</w:t>
            </w:r>
          </w:p>
        </w:tc>
        <w:tc>
          <w:tcPr>
            <w:tcW w:type="dxa" w:w="1080"/>
          </w:tcPr>
          <w:p>
            <w:r>
              <w:t>Aging is influenced by genetic, environmental, and lifestyle factors. Preliminary studies suggest that fruit and vegetable-based dietary supplements may reduce inflammation and oxidative stress, key factors in aging. Greens-based supplements typically contain concentrated extracts of leafy greens, fruits, vegetables, and bioactive phytochemicals, providing micronutrients and polyphenols that may influence aging-related pathways. This exploratory study evaluated the effects of a 30-day greens-based supplement on epigenetic markers of aging and metabolic health in adults aged 50-65 years with body mass index (BMI) &gt;30 kg/m&lt;sup&gt;2&lt;/sup&gt;, using a 60-day randomized crossover design. Participants were randomized to immediate or delayed supplementation. During the 30-day intervention period, participants consumed a daily greens supplement. Primary outcomes included peripheral blood mononuclear cell DNA methylation and epigenetic age (Horvath, PCGrimAge, AdaptAge, and DamAge). Secondary measures included clinical metabolic biomarkers, microbiome diversity, breath hydrogen and methane, body composition, actigraphy, dietary intake, and quality of life questionnaires [RAND 12 item short form questionnaire (SF-12), and 21-item Depression, Anxiety, and Stress Scale (DASS-21)]. Twenty-one participants began the protocol (65% female, mean age 58.4 ± 5.3 years, mean BMI 38.1 ± 8 kg/m&lt;sup&gt;2&lt;/sup&gt;). Nineteen participants completed the study. Horvath clock data indicated that biological age paradoxically increased during the supplementation period, whereas newer-generation clocks (AdaptAge, DamAge) demonstrated trends toward improved outcomes. Gut microbiome alpha diversity remained stable; taxa of interest, including Bilophila (&lt;i&gt;p&lt;/i&gt; = 0.037) and Desulfobacterota (&lt;i&gt;p&lt;/i&gt; = 0.031) changed with supplementation. Body composition, metabolic biomarkers, dietary intake, breath gases, sleep, and psychosocial measures were unchanged during the study. Exploratory pre-to-post supplementation change score correlations found no significant associations between epigenetic clocks and secondary outcomes, except for an inverse relationship between Faith's phylogenetic diversity and fasting blood glucose (&lt;i&gt;r&lt;/i&gt; &lt;sub&gt;s&lt;/sub&gt; = -0.81, &lt;i&gt;p&lt;/i&gt; &lt; 0.001). In summary, 30 days of greens-based supplementation led to selective changes in epigenetic aging markers and individual gut microbial taxa, without significant effects on overall microbiome diversity, metabolic health markers, or body composition. Additionally, exploratory correlations suggest potential links between changes in microbial diversity and glycemic control following greens supplementation.</w:t>
            </w:r>
          </w:p>
        </w:tc>
        <w:tc>
          <w:tcPr>
            <w:tcW w:type="dxa" w:w="1080"/>
          </w:tcPr>
          <w:p>
            <w:r>
              <w:t>Robinson LA, Cavanah AM, Lennon S, Mattingly ML, Pol WV, Huggins KW, Greene MW, Roberts MD, Frugé AD.</w:t>
            </w:r>
          </w:p>
        </w:tc>
        <w:tc>
          <w:tcPr>
            <w:tcW w:type="dxa" w:w="1080"/>
          </w:tcPr>
          <w:p>
            <w:r>
              <w:t>2026.0</w:t>
            </w:r>
          </w:p>
        </w:tc>
      </w:tr>
      <w:tr>
        <w:tc>
          <w:tcPr>
            <w:tcW w:type="dxa" w:w="1080"/>
          </w:tcPr>
          <w:p>
            <w:r>
              <w:t>europepmc</w:t>
            </w:r>
          </w:p>
        </w:tc>
        <w:tc>
          <w:tcPr>
            <w:tcW w:type="dxa" w:w="1080"/>
          </w:tcPr>
          <w:p>
            <w:r>
              <w:t>39416749</w:t>
            </w:r>
          </w:p>
        </w:tc>
        <w:tc>
          <w:tcPr>
            <w:tcW w:type="dxa" w:w="1080"/>
          </w:tcPr>
          <w:p>
            <w:r>
              <w:t>10.1093/eep/dvae017</w:t>
            </w:r>
          </w:p>
        </w:tc>
        <w:tc>
          <w:tcPr>
            <w:tcW w:type="dxa" w:w="1080"/>
          </w:tcPr>
          <w:p>
            <w:r>
              <w:t>39416749.0</w:t>
            </w:r>
          </w:p>
        </w:tc>
        <w:tc>
          <w:tcPr>
            <w:tcW w:type="dxa" w:w="1080"/>
          </w:tcPr>
          <w:p>
            <w:r>
              <w:t>Bronchial cell epigenetic aging in a human experimental study of short-term diesel and ozone exposures.</w:t>
            </w:r>
          </w:p>
        </w:tc>
        <w:tc>
          <w:tcPr>
            <w:tcW w:type="dxa" w:w="1080"/>
          </w:tcPr>
          <w:p>
            <w:r>
              <w:t>Blood-based, observational, and cross-sectional epidemiological studies suggest that air pollutant exposures alter biological aging. In a single-blinded randomized crossover human experiment of 17 volunteers, we examined the effect of randomized 2-h controlled air pollution exposures on respiratory tissue epigenetic aging. Bronchial epithelial cell DNA methylation 24 h post-exposure was measured using the HumanMethylation450K BeadChip, and there was a minimum 2-week washout period between exposures. All 17 volunteers were exposed to ozone, but only 13 were exposed to diesel exhaust. Horvath DNAmAge [Pearson coefficient (r) = 0.64; median absolute error (MAE) = 2.7 years], GrimAge (r = 0.81; MAE = 13 years), and DNAm Telomere Length (DNAmTL) (r = -0.65) were strongly correlated with chronological age in this tissue. Compared to clean air, ozone exposure was associated with longer DNAmTL (median difference 0.11 kb, Fisher's exact &lt;i&gt;P&lt;/i&gt;-value = .036). This randomized trial suggests a weak relationship of ozone exposure with DNAmTL in target respiratory cells. Still, causal relationships with long-term exposures need to be evaluated.</w:t>
            </w:r>
          </w:p>
        </w:tc>
        <w:tc>
          <w:tcPr>
            <w:tcW w:type="dxa" w:w="1080"/>
          </w:tcPr>
          <w:p>
            <w:r>
              <w:t>Nwanaji-Enwerem JC, Bozack AK, Ward-Caviness C, Diaz-Sanchez D, Devlin RB, Bind MC, Cardenas A.</w:t>
            </w:r>
          </w:p>
        </w:tc>
        <w:tc>
          <w:tcPr>
            <w:tcW w:type="dxa" w:w="1080"/>
          </w:tcPr>
          <w:p>
            <w:r>
              <w:t>2024.0</w:t>
            </w:r>
          </w:p>
        </w:tc>
      </w:tr>
      <w:tr>
        <w:tc>
          <w:tcPr>
            <w:tcW w:type="dxa" w:w="1080"/>
          </w:tcPr>
          <w:p>
            <w:r>
              <w:t>europepmc</w:t>
            </w:r>
          </w:p>
        </w:tc>
        <w:tc>
          <w:tcPr>
            <w:tcW w:type="dxa" w:w="1080"/>
          </w:tcPr>
          <w:p>
            <w:r>
              <w:t>PPR1050053</w:t>
            </w:r>
          </w:p>
        </w:tc>
        <w:tc>
          <w:tcPr>
            <w:tcW w:type="dxa" w:w="1080"/>
          </w:tcPr>
          <w:p>
            <w:r>
              <w:t>10.1101/2025.07.09.25331038</w:t>
            </w:r>
          </w:p>
        </w:tc>
        <w:tc>
          <w:tcPr>
            <w:tcW w:type="dxa" w:w="1080"/>
          </w:tcPr>
          <w:p>
            <w:r/>
          </w:p>
        </w:tc>
        <w:tc>
          <w:tcPr>
            <w:tcW w:type="dxa" w:w="1080"/>
          </w:tcPr>
          <w:p>
            <w:r>
              <w:t>Semaglutide Slows Epigenetic Aging in People with HIV-associated lipohypertrophy: Evidence from a Randomized Controlled Trial</w:t>
            </w:r>
          </w:p>
        </w:tc>
        <w:tc>
          <w:tcPr>
            <w:tcW w:type="dxa" w:w="1080"/>
          </w:tcPr>
          <w:p>
            <w:r>
              <w:t>Semaglutide is a once-weekly GLP-1 receptor agonist that has been proposed as a gerotherapeutic, yet no data exist on its effects on epigenetic aging. We therefore conducted a post-hoc epigenetic analysis of a 32-week, double-blind, placebo-controlled phase 2b trial in adults with HIV-associated lipohypertrophy (semaglutide n = 45; placebo n = 39). Paired peripheral-blood methylomes were profiled to evaluate semaglutide’s impact across multiple generations of DNA-methylation clocks. After adjustment for sex, BMI, hsCRP, and sCD163, semaglutide significantly decreased epigenetic aging: PCGrimAge (-3.1 years, P = 0.007), GrimAge V1 (-1.4 years, P = 0.02), GrimAge V2 (-2.3 years, P = 0.009), PhenoAge (-4.9 years, P = 0.004), and DunedinPACE (-0.09 units, ≈9 % slower pace, P = 0.01). Semaglutide also lowered the multi-omic OMICmAge clock (-2.2 years, P = 0.009) and the transposable element-focused RetroAge clock (-2.2 years, P = 0.030). Eleven organ-system clocks showed concordant decreased with semaglutide, most prominently inflammation, brain and heart, whereas an Intrinsic Capacity epigenetic clock was unchanged (P = 0.31). These findings provide, to our knowledge, the first clinical-trial evidence that semaglutide modulates validated epigenetic biomarkers of aging, justifying further evaluation of GLP-1 receptor agonists for health-span extension.</w:t>
            </w:r>
          </w:p>
        </w:tc>
        <w:tc>
          <w:tcPr>
            <w:tcW w:type="dxa" w:w="1080"/>
          </w:tcPr>
          <w:p>
            <w:r>
              <w:t>Corley MJ, Dwaraka V, Pang AP, Labbato D, Smith R, Eckard AR, McComsey GA.</w:t>
            </w:r>
          </w:p>
        </w:tc>
        <w:tc>
          <w:tcPr>
            <w:tcW w:type="dxa" w:w="1080"/>
          </w:tcPr>
          <w:p>
            <w:r>
              <w:t>2025.0</w:t>
            </w:r>
          </w:p>
        </w:tc>
      </w:tr>
      <w:tr>
        <w:tc>
          <w:tcPr>
            <w:tcW w:type="dxa" w:w="1080"/>
          </w:tcPr>
          <w:p>
            <w:r>
              <w:t>europepmc</w:t>
            </w:r>
          </w:p>
        </w:tc>
        <w:tc>
          <w:tcPr>
            <w:tcW w:type="dxa" w:w="1080"/>
          </w:tcPr>
          <w:p>
            <w:r>
              <w:t>41872206</w:t>
            </w:r>
          </w:p>
        </w:tc>
        <w:tc>
          <w:tcPr>
            <w:tcW w:type="dxa" w:w="1080"/>
          </w:tcPr>
          <w:p>
            <w:r>
              <w:t>10.1038/s41514-026-00360-2</w:t>
            </w:r>
          </w:p>
        </w:tc>
        <w:tc>
          <w:tcPr>
            <w:tcW w:type="dxa" w:w="1080"/>
          </w:tcPr>
          <w:p>
            <w:r>
              <w:t>41872206.0</w:t>
            </w:r>
          </w:p>
        </w:tc>
        <w:tc>
          <w:tcPr>
            <w:tcW w:type="dxa" w:w="1080"/>
          </w:tcPr>
          <w:p>
            <w:r>
              <w:t>Trajectories of physical function and biological aging in generally healthy older adults with and without incident invasive cancer over a three-year follow-up: findings from the DO-HEALTH study.</w:t>
            </w:r>
          </w:p>
        </w:tc>
        <w:tc>
          <w:tcPr>
            <w:tcW w:type="dxa" w:w="1080"/>
          </w:tcPr>
          <w:p>
            <w:r>
              <w:t>Cancer is associated with biological aging and functional decline; however, few studies have simultaneously examined objective changes in physical function and biological aging in older adults who develop cancer. We therefore compared functional and accelerated aging in generally healthy adults with and without incident invasive cancer, using data from DO-HEALTH, a three-year, randomized controlled trial including 2152 participants (mean age: 74.9 years, 61.1% women), free of major health conditions. Functional aging was assessed by the Short Physical Performance Battery, handgrip strength, gait speed, and five-times sit-to-stand test (STS). Biological aging was measured in a subsample (n = 777) using Horvath, Hannum, GrimAge and PhenoAge clocks, and DunedinPACE. Participants with incident cancer showed a greater decline in STS (Δ adjusted means [AM]: 0.64 s [95% CI 0.06, 1.22]) and grip strength (ΔAM -1.77 kPa [-3.51, -0.03]). Furthermore, baseline biological aging was accelerated between 3.52 and 6.77 months, measured by Horvath, Hannum, and PhenoAge clocks. Findings support the geroscience hypothesis linking greater phenotypic functional decline to accelerated biological aging in older adults with incident cancer. The data for this observational analysis stem from the DO-HEALTH clinical trial, which was prospectively registered (clinicaltrials.gov; NCT01745263; registered on December 10, 2012).</w:t>
            </w:r>
          </w:p>
        </w:tc>
        <w:tc>
          <w:tcPr>
            <w:tcW w:type="dxa" w:w="1080"/>
          </w:tcPr>
          <w:p>
            <w:r>
              <w:t>Rösler W, Kistler-Fischbacher M, Gängler S, Markus MG, Reto KW, Orav JE, Dawson-Hughes B, Ryan J, Belsky DW, Horvath S, Willett WC, Wieczorek M, Bischoff-Ferrari HA.</w:t>
            </w:r>
          </w:p>
        </w:tc>
        <w:tc>
          <w:tcPr>
            <w:tcW w:type="dxa" w:w="1080"/>
          </w:tcPr>
          <w:p>
            <w:r>
              <w:t>2026.0</w:t>
            </w:r>
          </w:p>
        </w:tc>
      </w:tr>
      <w:tr>
        <w:tc>
          <w:tcPr>
            <w:tcW w:type="dxa" w:w="1080"/>
          </w:tcPr>
          <w:p>
            <w:r>
              <w:t>europepmc</w:t>
            </w:r>
          </w:p>
        </w:tc>
        <w:tc>
          <w:tcPr>
            <w:tcW w:type="dxa" w:w="1080"/>
          </w:tcPr>
          <w:p>
            <w:r>
              <w:t>40456316</w:t>
            </w:r>
          </w:p>
        </w:tc>
        <w:tc>
          <w:tcPr>
            <w:tcW w:type="dxa" w:w="1080"/>
          </w:tcPr>
          <w:p>
            <w:r>
              <w:t>10.1016/j.ajcnut.2025.05.029</w:t>
            </w:r>
          </w:p>
        </w:tc>
        <w:tc>
          <w:tcPr>
            <w:tcW w:type="dxa" w:w="1080"/>
          </w:tcPr>
          <w:p>
            <w:r>
              <w:t>40456316.0</w:t>
            </w:r>
          </w:p>
        </w:tc>
        <w:tc>
          <w:tcPr>
            <w:tcW w:type="dxa" w:w="1080"/>
          </w:tcPr>
          <w:p>
            <w:r>
              <w:t>One-carbon metabolism-related compounds are associated with epigenetic aging biomarkers: results from the cross-sectional National Health and Nutrition Examination Survey 1999-2002.</w:t>
            </w:r>
          </w:p>
        </w:tc>
        <w:tc>
          <w:tcPr>
            <w:tcW w:type="dxa" w:w="1080"/>
          </w:tcPr>
          <w:p>
            <w:r>
              <w:t>&lt;h4&gt;Background&lt;/h4&gt;One-carbon metabolism (OCM), a biochemical pathway dependent on micronutrients including B vitamins, plays an essential role in aging-related physiological processes. DNA methylation-based aging biomarkers may be influenced by OCM.&lt;h4&gt;Objectives&lt;/h4&gt;This study investigated associations of OCM-related biomarkers with epigenetic aging biomarkers in the cross-sectional National Health and Nutrition Examination Survey (1999-2002).&lt;h4&gt;Methods&lt;/h4&gt;Blood DNA methylation was measured in adults aged ≥50 y. The following epigenetic aging biomarkers were included: Horvath1, Horvath2, Hannum, PhenoAge, GrimAge2, Dunedin Pace-of-Aging (DunedinPoAm), and DNA methylation telomere length (DNAmTL). We tested for associations of serum folate, red blood cell folate, vitamin B12, homocysteine (Hcy), and methylmalonic acid (MMA) concentrations with epigenetic age deviation (EAD) among 2346 participants with epigenetic and nutritional status biomarkers using adjusted survey-weighted general linear regression models.&lt;h4&gt;Results&lt;/h4&gt;A doubling of serum folate concentration was associated with -0.82 y (95% confidence interval: -1.40, -0.23) lower GrimAge2 EAD, -0.13 SDs (-0.22, -0.03) lower DunedinPoAm, and 0.02 kb (0.00, 0.04) greater DNAmTL EAD. Conversely, a doubling in Hcy concentration was associated with 1.05 y (0.06, 2.04) greater PhenoAge EAD, 1.93 y (1.16, 2.71) greater GrimAge2 EAD, and 0.26 SDs (0.10, 0.41) greater DunedinPoAm. Associations of serum folate with EAD were attenuated after adjusting for smoking status, alcohol intake, and estimated glomerular filtration rate. Furthermore, smoking modified the associations of Hcy with GrimAge2 EAD. Chronic kidney disease modified associations of B12 and MMA with Horvath1 and GrimAge2 EAD, respectively.&lt;h4&gt;Conclusions&lt;/h4&gt;In a nationally representative sample of United States adults, higher concentration of folate, a carbon donor, was associated with lower EAD, and higher concentration of Hcys, an indicator of OCM deficiencies, was associated with greater EAD; however, some associations were influenced by smoking and renal function. Future research should focus on high-risk populations. Long-term randomized controlled trials are also needed to establish causality and investigate the clinical relevance of changes in EAD.</w:t>
            </w:r>
          </w:p>
        </w:tc>
        <w:tc>
          <w:tcPr>
            <w:tcW w:type="dxa" w:w="1080"/>
          </w:tcPr>
          <w:p>
            <w:r>
              <w:t>Bozack AK, Khodasevich D, Nwanaji-Enwerem JC, Gladish N, Shen H, Daredia S, Gamble M, Needham BL, Rehkopf DH, Cardenas A.</w:t>
            </w:r>
          </w:p>
        </w:tc>
        <w:tc>
          <w:tcPr>
            <w:tcW w:type="dxa" w:w="1080"/>
          </w:tcPr>
          <w:p>
            <w:r>
              <w:t>2025.0</w:t>
            </w:r>
          </w:p>
        </w:tc>
      </w:tr>
      <w:tr>
        <w:tc>
          <w:tcPr>
            <w:tcW w:type="dxa" w:w="1080"/>
          </w:tcPr>
          <w:p>
            <w:r>
              <w:t>europepmc</w:t>
            </w:r>
          </w:p>
        </w:tc>
        <w:tc>
          <w:tcPr>
            <w:tcW w:type="dxa" w:w="1080"/>
          </w:tcPr>
          <w:p>
            <w:r>
              <w:t>37118425</w:t>
            </w:r>
          </w:p>
        </w:tc>
        <w:tc>
          <w:tcPr>
            <w:tcW w:type="dxa" w:w="1080"/>
          </w:tcPr>
          <w:p>
            <w:r>
              <w:t>10.1038/s43587-022-00357-y</w:t>
            </w:r>
          </w:p>
        </w:tc>
        <w:tc>
          <w:tcPr>
            <w:tcW w:type="dxa" w:w="1080"/>
          </w:tcPr>
          <w:p>
            <w:r>
              <w:t>37118425.0</w:t>
            </w:r>
          </w:p>
        </w:tc>
        <w:tc>
          <w:tcPr>
            <w:tcW w:type="dxa" w:w="1080"/>
          </w:tcPr>
          <w:p>
            <w:r>
              <w:t>Effect of long-term caloric restriction on DNA methylation measures of biological aging in healthy adults from the CALERIE trial.</w:t>
            </w:r>
          </w:p>
        </w:tc>
        <w:tc>
          <w:tcPr>
            <w:tcW w:type="dxa" w:w="1080"/>
          </w:tcPr>
          <w:p>
            <w:r>
              <w:t>The geroscience hypothesis proposes that therapy to slow or reverse molecular changes that occur with aging can delay or prevent multiple chronic diseases and extend healthy lifespan&lt;sup&gt;1-3&lt;/sup&gt;. Caloric restriction (CR), defined as lessening caloric intake without depriving essential nutrients&lt;sup&gt;4&lt;/sup&gt;, results in changes in molecular processes that have been associated with aging, including DNA methylation (DNAm)&lt;sup&gt;5-7&lt;/sup&gt;, and is established to increase healthy lifespan in multiple species&lt;sup&gt;8,9&lt;/sup&gt;. Here we report the results of a post hoc analysis of the influence of CR on DNAm measures of aging in blood samples from the Comprehensive Assessment of Long-term Effects of Reducing Intake of Energy (CALERIE) trial, a randomized controlled trial in which n = 220 adults without obesity were randomized to 25% CR or ad libitum control diet for 2 yr (ref. &lt;sup&gt;10&lt;/sup&gt;). We found that CALERIE intervention slowed the pace of aging, as measured by the DunedinPACE DNAm algorithm, but did not lead to significant changes in biological age estimates measured by various DNAm clocks including PhenoAge and GrimAge. Treatment effect sizes were small. Nevertheless, modest slowing of the pace of aging can have profound effects on population health&lt;sup&gt;11-13&lt;/sup&gt;. The finding that CR modified DunedinPACE in a randomized controlled trial supports the geroscience hypothesis, building on evidence from small and uncontrolled studies&lt;sup&gt;14-16&lt;/sup&gt; and contrasting with reports that biological aging may not be modifiable&lt;sup&gt;17&lt;/sup&gt;. Ultimately, a conclusive test of the geroscience hypothesis will require trials with long-term follow-up to establish effects of intervention on primary healthy-aging endpoints, including incidence of chronic disease and mortality&lt;sup&gt;18-20&lt;/sup&gt;.</w:t>
            </w:r>
          </w:p>
        </w:tc>
        <w:tc>
          <w:tcPr>
            <w:tcW w:type="dxa" w:w="1080"/>
          </w:tcPr>
          <w:p>
            <w:r>
              <w:t>Waziry R, Ryan CP, Corcoran DL, Huffman KM, Kobor MS, Kothari M, Graf GH, Kraus VB, Kraus WE, Lin DTS, Pieper CF, Ramaker ME, Bhapkar M, Das SK, Ferrucci L, Hastings WJ, Kebbe M, Parker DC, Racette SB, Shalev I, Schilling B, Belsky DW.</w:t>
            </w:r>
          </w:p>
        </w:tc>
        <w:tc>
          <w:tcPr>
            <w:tcW w:type="dxa" w:w="1080"/>
          </w:tcPr>
          <w:p>
            <w:r>
              <w:t>2023.0</w:t>
            </w:r>
          </w:p>
        </w:tc>
      </w:tr>
      <w:tr>
        <w:tc>
          <w:tcPr>
            <w:tcW w:type="dxa" w:w="1080"/>
          </w:tcPr>
          <w:p>
            <w:r>
              <w:t>europepmc</w:t>
            </w:r>
          </w:p>
        </w:tc>
        <w:tc>
          <w:tcPr>
            <w:tcW w:type="dxa" w:w="1080"/>
          </w:tcPr>
          <w:p>
            <w:r>
              <w:t>PPR963515</w:t>
            </w:r>
          </w:p>
        </w:tc>
        <w:tc>
          <w:tcPr>
            <w:tcW w:type="dxa" w:w="1080"/>
          </w:tcPr>
          <w:p>
            <w:r>
              <w:t>10.1101/2025.01.06.25320074</w:t>
            </w:r>
          </w:p>
        </w:tc>
        <w:tc>
          <w:tcPr>
            <w:tcW w:type="dxa" w:w="1080"/>
          </w:tcPr>
          <w:p>
            <w:r/>
          </w:p>
        </w:tc>
        <w:tc>
          <w:tcPr>
            <w:tcW w:type="dxa" w:w="1080"/>
          </w:tcPr>
          <w:p>
            <w:r>
              <w:t>One-carbon metabolism-related compounds are associated with epigenetic aging biomarkers: Results from National Health and Nutrition Examination Survey (NHANES) 1999-2002</w:t>
            </w:r>
          </w:p>
        </w:tc>
        <w:tc>
          <w:tcPr>
            <w:tcW w:type="dxa" w:w="1080"/>
          </w:tcPr>
          <w:p>
            <w:r>
              <w:t>&lt;h4&gt;Background&lt;/h4&gt; One-carbon metabolism (OCM), a biochemical pathway dependent on micronutrients including folate and vitamin B12, plays an essential role in aging-related physiological processes. DNA methylation-based aging biomarkers may be influenced by OCM. &lt;h4&gt;Objective&lt;/h4&gt; This study investigated associations of OCM-related biomarkers with epigenetic aging biomarkers in the National Health and Nutrition Examination Survey (NHANES). &lt;h4&gt;Methods&lt;/h4&gt; Blood DNA methylation was measured in adults aged ≥50 years in the 1999-2000 and 2001-2002 cycles of NHANES. The following epigenetic aging biomarkers were included: Horvath1, Horvath2, Hannum, PhenoAge, GrimAge2, DunedinPoAm, and DNA methylation telomere length (DNAmTL). We tested for associations of serum folate, red blood cell (RBC) folate, vitamin B12, homocysteine, and methylmalonic acid concentrations with epigenetic age deviation (EAD) among 2,346 participants with epigenetic and nutritional status biomarkers using survey weighted general linear regression models adjusting for sociodemographics, BMI, and behavioral factors. &lt;h4&gt;Results&lt;/h4&gt; A doubling of serum folate concentration was associated with −0.82 years (95% confidence interval (CI) = −1.40, −0.23) lower GrimAge EAD, −0.13 SDs (−0.22, −0.03) lower DunedinPoAm, and 0.02 kb (0.00, 0.04) greater DNAmTL EAD. Associations were attenuated after adjusting for smoking status and alcohol intake, folate antagonists. Conversely, a doubling in homocysteine concentration was associated with 1.05 years (0.06, 2.04) greater PhenoAge EAD, 1.93 years (1.16, 2.71) greater GrimAge2 EAD, and 0.26 SDs (0.10, 0.41) greater DunedinPoAm. Associations with GrimAge2 EAD and DunedinPoAm were robust to alcohol and smoking adjustment. &lt;h4&gt;Conclusions&lt;/h4&gt; In a nationally representative sample of U.S. adults, greater folate, a carbon donor, was associated with lower EAD, and greater homocysteine, an indicator of OCM deficiencies, was associated with greater EAD; however, some associations were influenced by smoking status. Future research should focus on high-risk populations. Randomized controlled trials with long-term follow-up are also needed to established causality and investigate the clinical relevance of changes in EAD.</w:t>
            </w:r>
          </w:p>
        </w:tc>
        <w:tc>
          <w:tcPr>
            <w:tcW w:type="dxa" w:w="1080"/>
          </w:tcPr>
          <w:p>
            <w:r>
              <w:t>Bozack A, Khodasevich D, Nwanaji-Enwerem JC, Gladish N, Shen H, Daredia S, Gamble M, Needham BL, Rehkopf DH, Cardenas A.</w:t>
            </w:r>
          </w:p>
        </w:tc>
        <w:tc>
          <w:tcPr>
            <w:tcW w:type="dxa" w:w="1080"/>
          </w:tcPr>
          <w:p>
            <w:r>
              <w:t>2025.0</w:t>
            </w:r>
          </w:p>
        </w:tc>
      </w:tr>
      <w:tr>
        <w:tc>
          <w:tcPr>
            <w:tcW w:type="dxa" w:w="1080"/>
          </w:tcPr>
          <w:p>
            <w:r>
              <w:t>europepmc</w:t>
            </w:r>
          </w:p>
        </w:tc>
        <w:tc>
          <w:tcPr>
            <w:tcW w:type="dxa" w:w="1080"/>
          </w:tcPr>
          <w:p>
            <w:r>
              <w:t>38096372</w:t>
            </w:r>
          </w:p>
        </w:tc>
        <w:tc>
          <w:tcPr>
            <w:tcW w:type="dxa" w:w="1080"/>
          </w:tcPr>
          <w:p>
            <w:r>
              <w:t>10.1080/15592294.2023.2293410</w:t>
            </w:r>
          </w:p>
        </w:tc>
        <w:tc>
          <w:tcPr>
            <w:tcW w:type="dxa" w:w="1080"/>
          </w:tcPr>
          <w:p>
            <w:r>
              <w:t>38096372.0</w:t>
            </w:r>
          </w:p>
        </w:tc>
        <w:tc>
          <w:tcPr>
            <w:tcW w:type="dxa" w:w="1080"/>
          </w:tcPr>
          <w:p>
            <w:r>
              <w:t>Impact of folic acid supplementation on the epigenetic profile in healthy unfortified individuals - a randomized intervention trial.</w:t>
            </w:r>
          </w:p>
        </w:tc>
        <w:tc>
          <w:tcPr>
            <w:tcW w:type="dxa" w:w="1080"/>
          </w:tcPr>
          <w:p>
            <w:r>
              <w:t>Folate is an essential mediator in one-carbon metabolism, which provides methyl groups for DNA synthesis and methylation. The availability of active methyl groups can be influenced by the uptake of folic acid. We conducted a randomized intervention trial to test the influence of folic acid supplementation on DNA methylation in an unfortified population in Germany. A total of 16 healthy male volunteers (age range 23-61 y) were randomized to receive either 400 μg (&lt;i&gt;n&lt;/i&gt; = 9) or 800 μg (&lt;i&gt;n&lt;/i&gt; = 7) folic acid supplements daily for 8 weeks. Infinium Human Methylation 450K BeadChip Microarrays were used to assay site-specific DNA methylation across the genome. Microarray analyses were conducted on PBL DNA. We estimated several epigenetic clocks and mean DNA methylation across all autosomal probes on the array. AgeAccel was estimated as the residual variation in each metric. In virtually all participants, both serum and red blood cell (RBC) folate increased successively throughout the trial period. Participants with a larger increase in RBC folate had a larger increase in DNAmAge AgeAccel (Spearman Rho: 0.56, &lt;i&gt;p&lt;/i&gt;-value = 0.03). No notable changes in the methylome resulting from the folic acid supplementation emerged. In this population with adequate folate levels derived from diet, an increase in RBC folate had a modest impact on the epigenetic clock predicting chronologic age.</w:t>
            </w:r>
          </w:p>
        </w:tc>
        <w:tc>
          <w:tcPr>
            <w:tcW w:type="dxa" w:w="1080"/>
          </w:tcPr>
          <w:p>
            <w:r>
              <w:t>Michels KB, Binder AM.</w:t>
            </w:r>
          </w:p>
        </w:tc>
        <w:tc>
          <w:tcPr>
            <w:tcW w:type="dxa" w:w="1080"/>
          </w:tcPr>
          <w:p>
            <w:r>
              <w:t>2024.0</w:t>
            </w:r>
          </w:p>
        </w:tc>
      </w:tr>
      <w:tr>
        <w:tc>
          <w:tcPr>
            <w:tcW w:type="dxa" w:w="1080"/>
          </w:tcPr>
          <w:p>
            <w:r>
              <w:t>europepmc</w:t>
            </w:r>
          </w:p>
        </w:tc>
        <w:tc>
          <w:tcPr>
            <w:tcW w:type="dxa" w:w="1080"/>
          </w:tcPr>
          <w:p>
            <w:r>
              <w:t>37675817</w:t>
            </w:r>
          </w:p>
        </w:tc>
        <w:tc>
          <w:tcPr>
            <w:tcW w:type="dxa" w:w="1080"/>
          </w:tcPr>
          <w:p>
            <w:r>
              <w:t>10.1111/acel.13926</w:t>
            </w:r>
          </w:p>
        </w:tc>
        <w:tc>
          <w:tcPr>
            <w:tcW w:type="dxa" w:w="1080"/>
          </w:tcPr>
          <w:p>
            <w:r>
              <w:t>37675817.0</w:t>
            </w:r>
          </w:p>
        </w:tc>
        <w:tc>
          <w:tcPr>
            <w:tcW w:type="dxa" w:w="1080"/>
          </w:tcPr>
          <w:p>
            <w:r>
              <w:t>Cell-type specific impact of metformin on monocyte epigenetic age reversal in virally suppressed older people living with HIV.</w:t>
            </w:r>
          </w:p>
        </w:tc>
        <w:tc>
          <w:tcPr>
            <w:tcW w:type="dxa" w:w="1080"/>
          </w:tcPr>
          <w:p>
            <w:r>
              <w:t>The anti-diabetic drug metformin may promote healthy aging. However, few clinical trials of metformin assessing biomarkers of aging have been completed. In this communication, we retrospectively examined the effect of metformin on epigenetic age using principal component (PC)-based epigenetic clocks, mitotic clocks, and pace of aging in peripheral monocytes and CD8&lt;sup&gt;+&lt;/sup&gt; T cells from participants in two clinical trials of virologically-suppressed people living with HIV (PLWH) with normal glucose receiving metformin. In a small 24-week clinical trial that randomized participants to receive either adjunctive metformin or observation, we observed significantly decreased PCPhenoAge and PCGrimAge estimates of monocytes from only participants in the metformin arm by a mean decrease of 3.53 and 1.84 years from baseline to Week 24. In contrast, we observed no significant differences in all PC clocks for participants in the observation arm over 24 weeks. Notably, our analysis of epigenetic mitotic clocks revealed significant increases for monocytes in the metformin arm when comparing baseline to Week 24, suggesting an impact of metformin on myeloid cell kinetics. Analysis of a single-arm clinical trial of adjunctive metformin in eight PLWH revealed no significant differences across all epigenetic clocks assessed in CD8&lt;sup&gt;+&lt;/sup&gt; T cells at 4- and 8-week time points. Our results suggest cell-type-specific myeloid effects of metformin captured by PC-based epigenetic clock biomarkers. Larger clinical studies of metformin are needed to validate these observations and this report highlights the need for further inclusion of PLWH in geroscience trials evaluating the effect of metformin on increasing healthspan and lifespan.</w:t>
            </w:r>
          </w:p>
        </w:tc>
        <w:tc>
          <w:tcPr>
            <w:tcW w:type="dxa" w:w="1080"/>
          </w:tcPr>
          <w:p>
            <w:r>
              <w:t>Corley MJ, Pang APS, Shikuma CM, Ndhlovu LC.</w:t>
            </w:r>
          </w:p>
        </w:tc>
        <w:tc>
          <w:tcPr>
            <w:tcW w:type="dxa" w:w="1080"/>
          </w:tcPr>
          <w:p>
            <w:r>
              <w:t>2024.0</w:t>
            </w:r>
          </w:p>
        </w:tc>
      </w:tr>
      <w:tr>
        <w:tc>
          <w:tcPr>
            <w:tcW w:type="dxa" w:w="1080"/>
          </w:tcPr>
          <w:p>
            <w:r>
              <w:t>europepmc</w:t>
            </w:r>
          </w:p>
        </w:tc>
        <w:tc>
          <w:tcPr>
            <w:tcW w:type="dxa" w:w="1080"/>
          </w:tcPr>
          <w:p>
            <w:r>
              <w:t>40810569</w:t>
            </w:r>
          </w:p>
        </w:tc>
        <w:tc>
          <w:tcPr>
            <w:tcW w:type="dxa" w:w="1080"/>
          </w:tcPr>
          <w:p>
            <w:r>
              <w:t>10.1093/infdis/jiaf430</w:t>
            </w:r>
          </w:p>
        </w:tc>
        <w:tc>
          <w:tcPr>
            <w:tcW w:type="dxa" w:w="1080"/>
          </w:tcPr>
          <w:p>
            <w:r>
              <w:t>40810569.0</w:t>
            </w:r>
          </w:p>
        </w:tc>
        <w:tc>
          <w:tcPr>
            <w:tcW w:type="dxa" w:w="1080"/>
          </w:tcPr>
          <w:p>
            <w:r>
              <w:t>Virological and Immunological Outcomes of Combined Therapeutic Interventions and Dendritic Cell Therapy in People With HIV.</w:t>
            </w:r>
          </w:p>
        </w:tc>
        <w:tc>
          <w:tcPr>
            <w:tcW w:type="dxa" w:w="1080"/>
          </w:tcPr>
          <w:p>
            <w:r>
              <w:t>&lt;h4&gt;Background&lt;/h4&gt;Except for hematopoietic cell transplantation, therapeutic-driven HIV-1 curative approaches have been unsuccessful. Here, we describe a 2-step randomized clinical trial designed to evaluate the safety and impact of individual and combinatorial therapeutic strategies on changes in peripheral and gut mucosal HIV reservoirs, immune activation and function in people with HIV with chronic disease and high CD4 T-cell nadirs.&lt;h4&gt;Methods&lt;/h4&gt;Thirty participants were enrolled and randomized equally into 6 study arms based on treatments with either standard antiretroviral therapy (ART) alone or a combination of candidate anti-HIV reservoir strategies that included ART intensification, auranofin (an apoptotic-inducer antirheumatic drug), nicotinamide (vitamin B3), and a personalized dendritic cell therapy.&lt;h4&gt;Results&lt;/h4&gt;After an analytical treatment interruption post intervention, all eligible participants rebounded within 14 weeks, except for 1 participant with rebound detected at 84 weeks and 2 participants receiving all combined therapies maintained viral loads below 1000 copies/mL through the study period. These posttreatment controllers all received nicotinamide containing regimens and exhibited immune cellular epigenetic age reversal.&lt;h4&gt;Conclusions&lt;/h4&gt;This proof-of-concept clinical trial demonstrates the safety of multiple interventions with distinct antireservoir activities in people with HIV and argues for continued investigation of both single and combinatorial interventions towards posttherapy HIV control.</w:t>
            </w:r>
          </w:p>
        </w:tc>
        <w:tc>
          <w:tcPr>
            <w:tcW w:type="dxa" w:w="1080"/>
          </w:tcPr>
          <w:p>
            <w:r>
              <w:t>Ndhlovu LC, Giron LB, Galinskas J, Premeaux TA, Pang APS, Dias D, de Almeida Baptista MV, Shytaj IL, Maricato JT, Ferreira PRA, Gosuen G, Corley MJ, Friday CM, Bowler SA, Della Libera E, Sucupira MC, Hunter JR, Janini LM, Schechter M, Savarino A, Diaz RS, SPARC Working Group</w:t>
              <w:br/>
              <w:t>.</w:t>
            </w:r>
          </w:p>
        </w:tc>
        <w:tc>
          <w:tcPr>
            <w:tcW w:type="dxa" w:w="1080"/>
          </w:tcPr>
          <w:p>
            <w:r>
              <w:t>2025.0</w:t>
            </w:r>
          </w:p>
        </w:tc>
      </w:tr>
      <w:tr>
        <w:tc>
          <w:tcPr>
            <w:tcW w:type="dxa" w:w="1080"/>
          </w:tcPr>
          <w:p>
            <w:r>
              <w:t>europepmc</w:t>
            </w:r>
          </w:p>
        </w:tc>
        <w:tc>
          <w:tcPr>
            <w:tcW w:type="dxa" w:w="1080"/>
          </w:tcPr>
          <w:p>
            <w:r>
              <w:t>PMC9766598</w:t>
            </w:r>
          </w:p>
        </w:tc>
        <w:tc>
          <w:tcPr>
            <w:tcW w:type="dxa" w:w="1080"/>
          </w:tcPr>
          <w:p>
            <w:r/>
          </w:p>
        </w:tc>
        <w:tc>
          <w:tcPr>
            <w:tcW w:type="dxa" w:w="1080"/>
          </w:tcPr>
          <w:p>
            <w:r/>
          </w:p>
        </w:tc>
        <w:tc>
          <w:tcPr>
            <w:tcW w:type="dxa" w:w="1080"/>
          </w:tcPr>
          <w:p>
            <w:r>
              <w:t>DOES CALORIC RESTRICTION SLOW THE PROCESS OF BIOLOGICAL AGING? EVIDENCE FROM THE CALERIE TRIAL</w:t>
            </w:r>
          </w:p>
        </w:tc>
        <w:tc>
          <w:tcPr>
            <w:tcW w:type="dxa" w:w="1080"/>
          </w:tcPr>
          <w:p>
            <w:r>
              <w:t>Abstract Calorie restriction (CR) slows aging and increases healthy lifespan in model organisms. We tested if CR slowed biological aging in humans using DNA methylation analysis of blood samples from N=197 participants in the Comprehensive Assessment of Long-term Effects ofReducing Intake of Energy (CALERIE™) randomized controlled trial. We quantified CR effects on biological aging by comparing change scores for six epigenetic-clock and Pace-of-Aging measures between n=128 CR-group and n=69 ad-libitum-control-group participants at 12- and24-month follow-ups. CR effects were strongest for DunedinPACE Pace of Aging (12-month Cohen’s d=0.3; 24-month Cohen’s d=0.2, p&lt;0.01 for both), followed by DunedinPoAm and the GrimAge epigenetic clock, although effects for these measures were not statistically differentfrom zero (p&gt;0.08). CR effects for other epigenetic clocks were in the opposite direction (all p&gt;0.15). CALERIE intervention slowed Pace of Aging but showed minimal effect on epigenetic clocks hypothesized to reflect longer term accumulation of aging burden.</w:t>
            </w:r>
          </w:p>
        </w:tc>
        <w:tc>
          <w:tcPr>
            <w:tcW w:type="dxa" w:w="1080"/>
          </w:tcPr>
          <w:p>
            <w:r/>
          </w:p>
        </w:tc>
        <w:tc>
          <w:tcPr>
            <w:tcW w:type="dxa" w:w="1080"/>
          </w:tcPr>
          <w:p>
            <w:r>
              <w:t>2022.0</w:t>
            </w:r>
          </w:p>
        </w:tc>
      </w:tr>
      <w:tr>
        <w:tc>
          <w:tcPr>
            <w:tcW w:type="dxa" w:w="1080"/>
          </w:tcPr>
          <w:p>
            <w:r>
              <w:t>europepmc</w:t>
            </w:r>
          </w:p>
        </w:tc>
        <w:tc>
          <w:tcPr>
            <w:tcW w:type="dxa" w:w="1080"/>
          </w:tcPr>
          <w:p>
            <w:r>
              <w:t>40433895</w:t>
            </w:r>
          </w:p>
        </w:tc>
        <w:tc>
          <w:tcPr>
            <w:tcW w:type="dxa" w:w="1080"/>
          </w:tcPr>
          <w:p>
            <w:r>
              <w:t>10.1002/advs.202417728</w:t>
            </w:r>
          </w:p>
        </w:tc>
        <w:tc>
          <w:tcPr>
            <w:tcW w:type="dxa" w:w="1080"/>
          </w:tcPr>
          <w:p>
            <w:r>
              <w:t>40433895.0</w:t>
            </w:r>
          </w:p>
        </w:tc>
        <w:tc>
          <w:tcPr>
            <w:tcW w:type="dxa" w:w="1080"/>
          </w:tcPr>
          <w:p>
            <w:r>
              <w:t>Nucleotides as an Anti-Aging Supplementation in Older Adults: A Randomized Controlled Trial (TALENTs study).</w:t>
            </w:r>
          </w:p>
        </w:tc>
        <w:tc>
          <w:tcPr>
            <w:tcW w:type="dxa" w:w="1080"/>
          </w:tcPr>
          <w:p>
            <w:r>
              <w:t>Aging impairs nutrient metabolism and accelerates biological aging, negatively affecting health and longevity. The Targeting Aging and Longevity with Exogenous Nucleotides (TALENTs) trial (ClinicalTrials.gov: NCT05243108) aimed to explore whether nucleotides (NTs) supplementation can delay biological aging and improve health outcomes in the elderly. The trial is a 19-week, double-blind, randomized, placebo-controlled study in Chengdu, China, with 121 participants (60-70 years). Participants are randomly assigned to either NTs (1.2 g day&lt;sup&gt;-1&lt;/sup&gt;) or placebo group (1:1). The results of primary outcomes showed that NTs had significantly greater reduction in median DNA methylation age compared to placebo over 19 weeks (β = -3.08 years, 95% CI: -5.07 to -1.10, P = 0.0023), with a trend toward reduction observed over 11 weeks (β = -1.94 years, 95% CI: -4.32 to 0.45, P = 0.11); whereas no significant difference changes of leukocyte telomere length are showed between groups (week 11: β = 0.09, 95% CI: -0.10 to 0.29, P = 0.36; week 19: β = 0.12, 95% CI: -0.05 to 0.28, P = 0.18). Insulin sensitivity improved in the NTs group, with a significant reduction in HOMA-IR over 19 weeks (β = -0.45, 95% CI: -0.86 to -0.04, P = 0.033). No severe adverse events or significant changes in safety indicators are reported. Together, our findings establish that NTs may delay biological aging and improve insulin sensitivity with a well-tolerated safety profile.</w:t>
            </w:r>
          </w:p>
        </w:tc>
        <w:tc>
          <w:tcPr>
            <w:tcW w:type="dxa" w:w="1080"/>
          </w:tcPr>
          <w:p>
            <w:r>
              <w:t>Wang S, Song L, Fan R, Chen Q, Fu R, You M, Wu Y, Cai M, Li Y, Xu M.</w:t>
            </w:r>
          </w:p>
        </w:tc>
        <w:tc>
          <w:tcPr>
            <w:tcW w:type="dxa" w:w="1080"/>
          </w:tcPr>
          <w:p>
            <w:r>
              <w:t>2025.0</w:t>
            </w:r>
          </w:p>
        </w:tc>
      </w:tr>
      <w:tr>
        <w:tc>
          <w:tcPr>
            <w:tcW w:type="dxa" w:w="1080"/>
          </w:tcPr>
          <w:p>
            <w:r>
              <w:t>europepmc</w:t>
            </w:r>
          </w:p>
        </w:tc>
        <w:tc>
          <w:tcPr>
            <w:tcW w:type="dxa" w:w="1080"/>
          </w:tcPr>
          <w:p>
            <w:r>
              <w:t>38002076</w:t>
            </w:r>
          </w:p>
        </w:tc>
        <w:tc>
          <w:tcPr>
            <w:tcW w:type="dxa" w:w="1080"/>
          </w:tcPr>
          <w:p>
            <w:r>
              <w:t>10.3390/biomedicines11113076</w:t>
            </w:r>
          </w:p>
        </w:tc>
        <w:tc>
          <w:tcPr>
            <w:tcW w:type="dxa" w:w="1080"/>
          </w:tcPr>
          <w:p>
            <w:r>
              <w:t>38002076.0</w:t>
            </w:r>
          </w:p>
        </w:tc>
        <w:tc>
          <w:tcPr>
            <w:tcW w:type="dxa" w:w="1080"/>
          </w:tcPr>
          <w:p>
            <w:r>
              <w:t>Feasibility of DNA Methylation Age as a Biomarker of Symptoms and Resilience among Cancer Survivors with Multiple Chronic Conditions.</w:t>
            </w:r>
          </w:p>
        </w:tc>
        <w:tc>
          <w:tcPr>
            <w:tcW w:type="dxa" w:w="1080"/>
          </w:tcPr>
          <w:p>
            <w:r>
              <w:t>This study aims to examine the feasibility of DNA methylation age as a biomarker for symptoms and resilience in cancer survivors with multiple chronic conditions (MCCs). We included ten participants from our parent study, an ongoing randomized control trial study. Participants' symptoms and resilience were assessed, and peripheral blood was collected. DNA methylation age calculation was performed using DNAge&lt;sup&gt;®&lt;/sup&gt; analysis. Data were analyzed using Spearman's correlation analysis and the Mann-Whitney U test. Participants in the intervention group tended to have a decrease in DNA methylation age and age acceleration after completing an exercise program (mean difference = -0.83 ± 1.26). The change in DNA methylation age was significantly correlated with the change in resilience score (r = -0.897, &lt;i&gt;p&lt;/i&gt; = 0.015). The preliminary results suggest that DNA methylation age can be a potential biomarker for improving resilience in cancer survivors with multiple chronic conditions. This finding is limited by the small sample size, and a larger study is needed.</w:t>
            </w:r>
          </w:p>
        </w:tc>
        <w:tc>
          <w:tcPr>
            <w:tcW w:type="dxa" w:w="1080"/>
          </w:tcPr>
          <w:p>
            <w:r>
              <w:t>Lukkahatai N, Park J, Jia HM, Martin D, Li J, Sheng JY, Gill J, Saligan LN, Stearns V, Carducci M.</w:t>
            </w:r>
          </w:p>
        </w:tc>
        <w:tc>
          <w:tcPr>
            <w:tcW w:type="dxa" w:w="1080"/>
          </w:tcPr>
          <w:p>
            <w:r>
              <w:t>2023.0</w:t>
            </w:r>
          </w:p>
        </w:tc>
      </w:tr>
      <w:tr>
        <w:tc>
          <w:tcPr>
            <w:tcW w:type="dxa" w:w="1080"/>
          </w:tcPr>
          <w:p>
            <w:r>
              <w:t>europepmc</w:t>
            </w:r>
          </w:p>
        </w:tc>
        <w:tc>
          <w:tcPr>
            <w:tcW w:type="dxa" w:w="1080"/>
          </w:tcPr>
          <w:p>
            <w:r>
              <w:t>42027147</w:t>
            </w:r>
          </w:p>
        </w:tc>
        <w:tc>
          <w:tcPr>
            <w:tcW w:type="dxa" w:w="1080"/>
          </w:tcPr>
          <w:p>
            <w:r>
              <w:t>10.1080/17501911.2026.2645001</w:t>
            </w:r>
          </w:p>
        </w:tc>
        <w:tc>
          <w:tcPr>
            <w:tcW w:type="dxa" w:w="1080"/>
          </w:tcPr>
          <w:p>
            <w:r>
              <w:t>42027147.0</w:t>
            </w:r>
          </w:p>
        </w:tc>
        <w:tc>
          <w:tcPr>
            <w:tcW w:type="dxa" w:w="1080"/>
          </w:tcPr>
          <w:p>
            <w:r>
              <w:t>S-adenosylmethionine as an epigenetic treatment of depression in adults with childhood trauma.</w:t>
            </w:r>
          </w:p>
        </w:tc>
        <w:tc>
          <w:tcPr>
            <w:tcW w:type="dxa" w:w="1080"/>
          </w:tcPr>
          <w:p>
            <w:r>
              <w:t>&lt;h4&gt;Background&lt;/h4&gt;Childhood trauma is associated with increased risk of depression and epigenetic alterations in stress-related pathways. Preclinical studies suggest that methyl donors may facilitate DNA methylation changes. This first-in-human trial of epigenetic treatment investigated methyl donor S-adenosylmethionine (SAMe) as add-on to trauma-focused therapy for depression.&lt;h4&gt;Methods&lt;/h4&gt;In this randomized, double-blind, placebo-controlled trial with 6-month follow-up, 31 adults with trauma-related depression were enrolled. Participants received 1200 mg SAMe or placebo alongside 12-weeks trauma-focused therapy. Depression symptoms were assessed using the Hamilton Rating Scale of Depression (HAM-D). Plasma SAMe levels and genome-wide DNA methylation were measured pre- and post-treatment, including epigenome-wide association analyses, differentially methylated region analyses, and epigenetic clock measures.&lt;h4&gt;Results&lt;/h4&gt;Twenty-eight participants completed the study. Depression symptoms decreased significantly during treatment and remained improved at follow-up, reflecting the effect of psychotherapy, without clinical benefit of SAMe. SAMe supplementation did not alter plasma SAMe levels. However, SAMe treatment was associated with differential methylation across 66 regions. Epigenetic clock analyses showed no consistent treatment-related changes.&lt;h4&gt;Conclusions&lt;/h4&gt;This first-in-human epigenetic intervention study in psychiatry demonstrates the feasibility of combining trauma-focused psychotherapy with targeted epigenetic analyses. While SAMe showed no additive clinical effects, the results provide important leads for future trials.&lt;h4&gt;Clinical trial identifier (eudract)&lt;/h4&gt;2017-002097-38.</w:t>
            </w:r>
          </w:p>
        </w:tc>
        <w:tc>
          <w:tcPr>
            <w:tcW w:type="dxa" w:w="1080"/>
          </w:tcPr>
          <w:p>
            <w:r>
              <w:t>Alkema A, Schalkwijk W, Bohte E, Draisma L, Hoppe A, Koch C, Refuge V, Romberg B, Luykx JJ, Jans JJM, Cahn W, Regeer E, Boks MPM.</w:t>
            </w:r>
          </w:p>
        </w:tc>
        <w:tc>
          <w:tcPr>
            <w:tcW w:type="dxa" w:w="1080"/>
          </w:tcPr>
          <w:p>
            <w:r>
              <w:t>2026.0</w:t>
            </w:r>
          </w:p>
        </w:tc>
      </w:tr>
      <w:tr>
        <w:tc>
          <w:tcPr>
            <w:tcW w:type="dxa" w:w="1080"/>
          </w:tcPr>
          <w:p>
            <w:r>
              <w:t>europepmc</w:t>
            </w:r>
          </w:p>
        </w:tc>
        <w:tc>
          <w:tcPr>
            <w:tcW w:type="dxa" w:w="1080"/>
          </w:tcPr>
          <w:p>
            <w:r>
              <w:t>39073812</w:t>
            </w:r>
          </w:p>
        </w:tc>
        <w:tc>
          <w:tcPr>
            <w:tcW w:type="dxa" w:w="1080"/>
          </w:tcPr>
          <w:p>
            <w:r>
              <w:t>10.1001/jamanetworkopen.2024.24815</w:t>
            </w:r>
          </w:p>
        </w:tc>
        <w:tc>
          <w:tcPr>
            <w:tcW w:type="dxa" w:w="1080"/>
          </w:tcPr>
          <w:p>
            <w:r>
              <w:t>39073812.0</w:t>
            </w:r>
          </w:p>
        </w:tc>
        <w:tc>
          <w:tcPr>
            <w:tcW w:type="dxa" w:w="1080"/>
          </w:tcPr>
          <w:p>
            <w:r>
              <w:t>Telehealth Parenting Program and Salivary Epigenetic Biomarkers in Preschool Children With Developmental Delay: NIMHD Social Epigenomics Program.</w:t>
            </w:r>
          </w:p>
        </w:tc>
        <w:tc>
          <w:tcPr>
            <w:tcW w:type="dxa" w:w="1080"/>
          </w:tcPr>
          <w:p>
            <w:r>
              <w:t>&lt;h4&gt;Importance&lt;/h4&gt;Children with developmental delays are at a heightened risk of experiencing mental health challenges, and this risk is exacerbated among racially minoritized children who face disproportionate adversity. Understanding the impact of parenting interventions on biological markers associated with these risks is crucial for mitigating long-term health disparities.&lt;h4&gt;Objective&lt;/h4&gt;To examine the effect of 20 weeks of an internet-based parent-child interaction training (iPCIT) program on biomarkers associated with aging and chronic inflammation among preschoolers with developmental delay at 12-month follow-up.&lt;h4&gt;Design, setting, and participants&lt;/h4&gt;An observational secondary analysis of data from a randomized clinical trial conducted from March 17, 2016, to December 15, 2020, to assess changes in salivary DNA methylation (DNAm)-derived biomarkers following iPCIT intervention. Participants were recruited from 3 Part C early intervention sites in a large southeastern US city. Eligible participants included children recruited within 3 months of their third birthday who had a Child Behavior Checklist Externalizing Problems T score greater than 60 and provided saliva in at least 1 study wave. Data analysis was conducted May 2023 to April 2024.&lt;h4&gt;Intervention&lt;/h4&gt;Participants received either iPCIT (a telehealth therapeutic intervention focused on enhancing the parent-child relationship and addressing behavioral challenges in young children) or referrals as usual.&lt;h4&gt;Main outcomes and measures&lt;/h4&gt;DNAm at the 12-month follow-up was assessed using the Infinium HumanMethylationEPIC Bead Chip Assay to derive biomarkers DunedinPACE, C-reactive protein (CRP), and interleukin-6 (IL-6). Analyses were intent-to-treat and used path analysis.&lt;h4&gt;Results&lt;/h4&gt;A total of 71 children (mean [SD] age, 36.27 [0.61] months 51 male [71.8%] and 20 female [28.2%]) were analyzed, of whom 34 received iPCIT and 37 received referrals as usual. The iPCIT group had a slower pace of aging (β = 0.26; 95% CI, 0.06 to 0.50; P = .03) and less DNAm-derived CRP (β = 0.27; 95% CI, 0.05 to 0.49; P = .01) relative to the control condition at the 12-month follow-up. These associations remained significant after accounting for baseline DNAm score, child demographics, and symptom severity, and were independent of predicted buccal epithelial cell proportion for both DunedinPACE and CRP. There was no association with DNAm-derived IL-6 (β = 0.14; 95% CI, -0.08 to 0.36; P = .21).&lt;h4&gt;Conclusions and relevance&lt;/h4&gt;In this study of a parenting intervention, iPCIT, the association of intervention with decreased molecular markers of inflammation and biological aging suggests their potential to modify aspects of the biological embedding of stress. Understanding the systemic biological impact of such interventions offers insights into addressing health disparities and promoting resilience among vulnerable populations.&lt;h4&gt;Trial registration&lt;/h4&gt;ClinicalTrials.gov Identifier: NCT03260816.</w:t>
            </w:r>
          </w:p>
        </w:tc>
        <w:tc>
          <w:tcPr>
            <w:tcW w:type="dxa" w:w="1080"/>
          </w:tcPr>
          <w:p>
            <w:r>
              <w:t>Merrill SM, Hogan C, Bozack AK, Cardenas A, Comer JS, Bagner DM, Highlander A, Parent J.</w:t>
            </w:r>
          </w:p>
        </w:tc>
        <w:tc>
          <w:tcPr>
            <w:tcW w:type="dxa" w:w="1080"/>
          </w:tcPr>
          <w:p>
            <w:r>
              <w:t>2024.0</w:t>
            </w:r>
          </w:p>
        </w:tc>
      </w:tr>
      <w:tr>
        <w:tc>
          <w:tcPr>
            <w:tcW w:type="dxa" w:w="1080"/>
          </w:tcPr>
          <w:p>
            <w:r>
              <w:t>europepmc</w:t>
            </w:r>
          </w:p>
        </w:tc>
        <w:tc>
          <w:tcPr>
            <w:tcW w:type="dxa" w:w="1080"/>
          </w:tcPr>
          <w:p>
            <w:r>
              <w:t>37743489</w:t>
            </w:r>
          </w:p>
        </w:tc>
        <w:tc>
          <w:tcPr>
            <w:tcW w:type="dxa" w:w="1080"/>
          </w:tcPr>
          <w:p>
            <w:r>
              <w:t>10.1186/s12916-023-03067-3</w:t>
            </w:r>
          </w:p>
        </w:tc>
        <w:tc>
          <w:tcPr>
            <w:tcW w:type="dxa" w:w="1080"/>
          </w:tcPr>
          <w:p>
            <w:r>
              <w:t>37743489.0</w:t>
            </w:r>
          </w:p>
        </w:tc>
        <w:tc>
          <w:tcPr>
            <w:tcW w:type="dxa" w:w="1080"/>
          </w:tcPr>
          <w:p>
            <w:r>
              <w:t>The effect of polyphenols on DNA methylation-assessed biological age attenuation: the DIRECT PLUS randomized controlled trial.</w:t>
            </w:r>
          </w:p>
        </w:tc>
        <w:tc>
          <w:tcPr>
            <w:tcW w:type="dxa" w:w="1080"/>
          </w:tcPr>
          <w:p>
            <w:r>
              <w:t>&lt;h4&gt;Background&lt;/h4&gt;Epigenetic age is an estimator of biological age based on DNA methylation; its discrepancy from chronologic age warrants further investigation. We recently reported that greater polyphenol intake benefitted ectopic fats, brain function, and gut microbiota profile, corresponding with elevated urine polyphenols. The effect of polyphenol-rich dietary interventions on biological aging is yet to be determined.&lt;h4&gt;Methods&lt;/h4&gt;We calculated different biological aging epigenetic clocks of different generations (Horvath2013, Hannum2013, Li2018, Horvath skin and blood2018, PhenoAge2018, PCGrimAge2022), their corresponding age and intrinsic age accelerations, and DunedinPACE, all based on DNA methylation (Illumina EPIC array; pre-specified secondary outcome) for 256 participants with abdominal obesity or dyslipidemia, before and after the 18-month DIRECT PLUS randomized controlled trial. Three interventions were assigned: healthy dietary guidelines, a Mediterranean (MED) diet, and a polyphenol-rich, low-red/processed meat Green-MED diet. Both MED groups consumed 28 g walnuts/day (+ 440 mg/day polyphenols). The Green-MED group consumed green tea (3-4 cups/day) and Mankai (Wolffia globosa strain) 500-ml green shake (+ 800 mg/day polyphenols). Adherence to the Green-MED diet was assessed by questionnaire and urine polyphenols metabolomics (high-performance liquid chromatography quadrupole time of flight).&lt;h4&gt;Results&lt;/h4&gt;Baseline chronological age (51.3 ± 10.6 years) was significantly correlated with all methylation age (mAge) clocks with correlations ranging from 0.83 to 0.95; p &lt; 2.2e - 16 for all. While all interventions did not differ in terms of changes between mAge clocks, greater Green-Med diet adherence was associated with a lower 18-month relative change (i.e., greater mAge attenuation) in Li and Hannum mAge (beta =  - 0.41, p = 0.004 and beta =  - 0.38, p = 0.03, respectively; multivariate models). Greater Li mAge attenuation (multivariate models adjusted for age, sex, baseline mAge, and weight loss) was mostly affected by higher intake of Mankai (beta =  - 1.8; p = 0.061) and green tea (beta =  - 1.57; p = 0.0016) and corresponded with elevated urine polyphenols: hydroxytyrosol, tyrosol, and urolithin C (p &lt; 0.05 for all) and urolithin A (p = 0.08), highly common in green plants. Overall, participants undergoing either MED-style diet had ~ 8.9 months favorable difference between the observed and expected Li mAge at the end of the intervention (p = 0.02).&lt;h4&gt;Conclusions&lt;/h4&gt;This study showed that MED and green-MED diets with increased polyphenols intake, such as green tea and Mankai, are inversely associated with biological aging. To the best of our knowledge, this is the first clinical trial to indicate a potential link between polyphenol intake, urine polyphenols, and biological aging.&lt;h4&gt;Trial registration&lt;/h4&gt;ClinicalTrials.gov, NCT03020186.</w:t>
            </w:r>
          </w:p>
        </w:tc>
        <w:tc>
          <w:tcPr>
            <w:tcW w:type="dxa" w:w="1080"/>
          </w:tcPr>
          <w:p>
            <w:r>
              <w:t>Yaskolka Meir A, Keller M, Hoffmann A, Rinott E, Tsaban G, Kaplan A, Zelicha H, Hagemann T, Ceglarek U, Isermann B, Shelef I, Blüher M, Stumvoll M, Li J, Haange SB, Engelmann B, Rolle-Kampczyk U, von Bergen M, Hu FB, Stampfer MJ, Kovacs P, Liang L, Shai I.</w:t>
            </w:r>
          </w:p>
        </w:tc>
        <w:tc>
          <w:tcPr>
            <w:tcW w:type="dxa" w:w="1080"/>
          </w:tcPr>
          <w:p>
            <w:r>
              <w:t>2023.0</w:t>
            </w:r>
          </w:p>
        </w:tc>
      </w:tr>
      <w:tr>
        <w:tc>
          <w:tcPr>
            <w:tcW w:type="dxa" w:w="1080"/>
          </w:tcPr>
          <w:p>
            <w:r>
              <w:t>europepmc</w:t>
            </w:r>
          </w:p>
        </w:tc>
        <w:tc>
          <w:tcPr>
            <w:tcW w:type="dxa" w:w="1080"/>
          </w:tcPr>
          <w:p>
            <w:r>
              <w:t>37994989</w:t>
            </w:r>
          </w:p>
        </w:tc>
        <w:tc>
          <w:tcPr>
            <w:tcW w:type="dxa" w:w="1080"/>
          </w:tcPr>
          <w:p>
            <w:r>
              <w:t>10.1007/s11357-023-00999-9</w:t>
            </w:r>
          </w:p>
        </w:tc>
        <w:tc>
          <w:tcPr>
            <w:tcW w:type="dxa" w:w="1080"/>
          </w:tcPr>
          <w:p>
            <w:r>
              <w:t>37994989.0</w:t>
            </w:r>
          </w:p>
        </w:tc>
        <w:tc>
          <w:tcPr>
            <w:tcW w:type="dxa" w:w="1080"/>
          </w:tcPr>
          <w:p>
            <w:r>
              <w:t>A randomized placebo-controlled trial of nicotinamide riboside in older adults with mild cognitive impairment.</w:t>
            </w:r>
          </w:p>
        </w:tc>
        <w:tc>
          <w:tcPr>
            <w:tcW w:type="dxa" w:w="1080"/>
          </w:tcPr>
          <w:p>
            <w:r>
              <w:t>Nicotinamide riboside (NR) increases blood levels of NAD+, a cofactor central to energy metabolism, and improves brain function in some rodent models of neurodegeneration. We conducted a placebo-controlled randomized pilot study with the primary objective of determining safety of NR in older adults with mild cognitive impairment (MCI). Twenty subjects with MCI were randomized to receive placebo or NR using dose escalation to achieve, and maintain, a final dose of 1 g/day over a 10-week study duration. The primary outcome was post-treatment change from baseline measures of cognition (Montreal Cognitive Assessment, MoCA). Predefined secondary outcomes included post-treatment changes in cerebral blood flow (CBF); blood NAD+ levels; and additional neurocognitive, psychometric, and physical performance tests. DNA methylation was assessed in peripheral blood mononuclear cells (PBMCs) as an exploratory outcome. The target NR dose was safely achieved as evidenced by a 2.6-fold increase in blood NAD+ in the NR group (p &lt; 0.001, 95% CI [17.77, 43.49]) with no between-group difference in adverse event reporting. MoCA and other neurocognitive and psychometric metrics remained stable throughout the study. NR reduced CBF in the default mode network (DMN) with greatest differences observed in the left inferior parietal lobe (IPL) (DMN p = 0.013, μ = 0.92, 95% CI [0.23, 1.62]; left IPL p = 0.009, μ = 1.66, 95% CI [0.5, 2.82]). Walking speed in the placebo group significantly improved across the study duration suggestive of a practice effect but did not change in the NR group (p = 0.0402 and p = 0.4698, respectively). Other secondary outcome measures remained stable. Global methylation analyses indicated a modest NR-associated increase in DNA methylation and concomitant reduction in epigenetic age as measured by PhenoAge and GrimAge epigenetic clock analyses. In summary, NR significantly increased blood NAD+ concentrations in older adults with MCI. NR was well tolerated and did not alter cognition. While CBF was reduced by NR treatment, statistical significance would not have withstood multiple comparisons correction. A larger trial of longer duration is needed to determine the potential of NR as a strategy to improve cognition and alter CBF in older adults with MCI. ClinicalTrials.gov NCT02942888.</w:t>
            </w:r>
          </w:p>
        </w:tc>
        <w:tc>
          <w:tcPr>
            <w:tcW w:type="dxa" w:w="1080"/>
          </w:tcPr>
          <w:p>
            <w:r>
              <w:t>Orr ME, Kotkowski E, Ramirez P, Bair-Kelps D, Liu Q, Brenner C, Schmidt MS, Fox PT, Larbi A, Tan C, Wong G, Gelfond J, Frost B, Espinoza S, Musi N, Powers B.</w:t>
            </w:r>
          </w:p>
        </w:tc>
        <w:tc>
          <w:tcPr>
            <w:tcW w:type="dxa" w:w="1080"/>
          </w:tcPr>
          <w:p>
            <w:r>
              <w:t>2024.0</w:t>
            </w:r>
          </w:p>
        </w:tc>
      </w:tr>
      <w:tr>
        <w:tc>
          <w:tcPr>
            <w:tcW w:type="dxa" w:w="1080"/>
          </w:tcPr>
          <w:p>
            <w:r>
              <w:t>europepmc</w:t>
            </w:r>
          </w:p>
        </w:tc>
        <w:tc>
          <w:tcPr>
            <w:tcW w:type="dxa" w:w="1080"/>
          </w:tcPr>
          <w:p>
            <w:r>
              <w:t>41803341</w:t>
            </w:r>
          </w:p>
        </w:tc>
        <w:tc>
          <w:tcPr>
            <w:tcW w:type="dxa" w:w="1080"/>
          </w:tcPr>
          <w:p>
            <w:r>
              <w:t>10.1038/s41591-026-04239-3</w:t>
            </w:r>
          </w:p>
        </w:tc>
        <w:tc>
          <w:tcPr>
            <w:tcW w:type="dxa" w:w="1080"/>
          </w:tcPr>
          <w:p>
            <w:r>
              <w:t>41803341.0</w:t>
            </w:r>
          </w:p>
        </w:tc>
        <w:tc>
          <w:tcPr>
            <w:tcW w:type="dxa" w:w="1080"/>
          </w:tcPr>
          <w:p>
            <w:r>
              <w:t>Effects of daily multivitamin-multimineral and cocoa extract supplementation on epigenetic aging clocks in the COSMOS randomized clinical trial.</w:t>
            </w:r>
          </w:p>
        </w:tc>
        <w:tc>
          <w:tcPr>
            <w:tcW w:type="dxa" w:w="1080"/>
          </w:tcPr>
          <w:p>
            <w:r>
              <w:t>Large-scale randomized trials have found that multivitamin-multimineral (MVM) supplements and cocoa flavanols may benefit several age-related chronic conditions among older adults, but it remains unclear whether these two supplements directly slow the biological aging process. This prespecified ancillary study evaluated the 2-year effect of a daily MVM (Centrum Silver) and cocoa extract (500 mg cocoa flavanols per day, including 80 mg (-)-epicatechin) on five DNA methylation measures of biological aging (PCHannum, PCHorvath, PCPhenoAge, PCGrimAge and DunedinPACE) among 958 participants (482 women and 476 men) in the COcoa Supplement and Multivitamin Outcomes Study (COSMOS). Compared with placebo, daily MVM supplementation modestly reduced the rate of increase of second-generation epigenetic clocks, with a between-group difference in yearly change of -0.113 years (95% confidence interval (CI) -0.205 to -0.020; P = 0.017) for PCGrimAge and -0.214 years (-0.410 to -0.019; P = 0.032) for PCPhenoAge. MVM had a stronger effect on PCGrimAge among those with accelerated biological aging at baseline (-0.236 [-0.380 to -0.091]) compared with those with normal or decelerated biological aging (-0.013 [-0.130 to 0.104]; P = 0.018 for interaction). Cocoa extract did not have an effect on the five epigenetic clocks tested. Although the statistically significant but small effects of daily MVM supplementation on slowing biological aging are encouraging, additional studies are needed to determine the clinical relevance of daily MVM supplementation on epigenetic clocks and whether such effects can help explain the beneficial effects of MVM supplementation on aging-related chronic conditions.</w:t>
            </w:r>
          </w:p>
        </w:tc>
        <w:tc>
          <w:tcPr>
            <w:tcW w:type="dxa" w:w="1080"/>
          </w:tcPr>
          <w:p>
            <w:r>
              <w:t>Li S, Hamaya R, Zhu H, Chen BH, Pereira AC, Ivey KL, Rist PM, Manson JE, Dong Y, Sesso HD.</w:t>
            </w:r>
          </w:p>
        </w:tc>
        <w:tc>
          <w:tcPr>
            <w:tcW w:type="dxa" w:w="1080"/>
          </w:tcPr>
          <w:p>
            <w:r>
              <w:t>2026.0</w:t>
            </w:r>
          </w:p>
        </w:tc>
      </w:tr>
      <w:tr>
        <w:tc>
          <w:tcPr>
            <w:tcW w:type="dxa" w:w="1080"/>
          </w:tcPr>
          <w:p>
            <w:r>
              <w:t>europepmc</w:t>
            </w:r>
          </w:p>
        </w:tc>
        <w:tc>
          <w:tcPr>
            <w:tcW w:type="dxa" w:w="1080"/>
          </w:tcPr>
          <w:p>
            <w:r>
              <w:t>40167560</w:t>
            </w:r>
          </w:p>
        </w:tc>
        <w:tc>
          <w:tcPr>
            <w:tcW w:type="dxa" w:w="1080"/>
          </w:tcPr>
          <w:p>
            <w:r>
              <w:t>10.1037/hea0001495</w:t>
            </w:r>
          </w:p>
        </w:tc>
        <w:tc>
          <w:tcPr>
            <w:tcW w:type="dxa" w:w="1080"/>
          </w:tcPr>
          <w:p>
            <w:r>
              <w:t>40167560.0</w:t>
            </w:r>
          </w:p>
        </w:tc>
        <w:tc>
          <w:tcPr>
            <w:tcW w:type="dxa" w:w="1080"/>
          </w:tcPr>
          <w:p>
            <w:r>
              <w:t>Relationship intervention moderates the association between substance use and biological aging among Black adults.</w:t>
            </w:r>
          </w:p>
        </w:tc>
        <w:tc>
          <w:tcPr>
            <w:tcW w:type="dxa" w:w="1080"/>
          </w:tcPr>
          <w:p>
            <w:r>
              <w:t>&lt;h4&gt;Objective&lt;/h4&gt;Black Americans face disproportionate challenges related to substance use and the health impacts of substance use, including accelerated aging. Accordingly, interventions are needed to protect against the harmful effects of substance use on accelerated aging. The present study examined whether the Protecting Strong African American Families (ProSAAF) intervention, a relationship education program designed to promote strong relationships among Black families, moderated the association between substance use and accelerated aging among Black couples.&lt;h4&gt;Method&lt;/h4&gt;Black couples received either the ProSAAF intervention or a minimal-touch control intervention and provided deoxyribonucleic acid specimens for methylation-based biomarker measurements of alcohol use and cigarette smoking (Alcohol T scores and cg05575921, combined into a substance use composite) and accelerated aging (DNAm GrimAge) 6- and 9 years postintervention.&lt;h4&gt;Results&lt;/h4&gt;Participants receiving the ProSAAF intervention (relative to the control condition) experienced a significantly weaker association between substance use and accelerated aging. Among the participants who were in the same relationship as when they were initially randomized, the association between substance use and aging was significantly weaker in the ProSAAF condition than in the control condition for participants with lower relationship satisfaction preintervention; no differences emerged among those with higher satisfaction.&lt;h4&gt;Conclusions&lt;/h4&gt;ProSAAF mitigated some of the harmful effects of substance use on accelerated aging among Black couples, particularly among those with lower preintervention relationship satisfaction. These findings highlight the potential for relationship interventions to serve as sources of constructed resilience that promote healthier aging. (PsycInfo Database Record (c) 2025 APA, all rights reserved).</w:t>
            </w:r>
          </w:p>
        </w:tc>
        <w:tc>
          <w:tcPr>
            <w:tcW w:type="dxa" w:w="1080"/>
          </w:tcPr>
          <w:p>
            <w:r>
              <w:t>Weber DM, Lavner JA, Carter S, Ong ML, Lei MK, Philibert R, Beach SRH.</w:t>
            </w:r>
          </w:p>
        </w:tc>
        <w:tc>
          <w:tcPr>
            <w:tcW w:type="dxa" w:w="1080"/>
          </w:tcPr>
          <w:p>
            <w:r>
              <w:t>2025.0</w:t>
            </w:r>
          </w:p>
        </w:tc>
      </w:tr>
      <w:tr>
        <w:tc>
          <w:tcPr>
            <w:tcW w:type="dxa" w:w="1080"/>
          </w:tcPr>
          <w:p>
            <w:r>
              <w:t>europepmc</w:t>
            </w:r>
          </w:p>
        </w:tc>
        <w:tc>
          <w:tcPr>
            <w:tcW w:type="dxa" w:w="1080"/>
          </w:tcPr>
          <w:p>
            <w:r>
              <w:t>34920739</w:t>
            </w:r>
          </w:p>
        </w:tc>
        <w:tc>
          <w:tcPr>
            <w:tcW w:type="dxa" w:w="1080"/>
          </w:tcPr>
          <w:p>
            <w:r>
              <w:t>10.1186/s13148-021-01218-y</w:t>
            </w:r>
          </w:p>
        </w:tc>
        <w:tc>
          <w:tcPr>
            <w:tcW w:type="dxa" w:w="1080"/>
          </w:tcPr>
          <w:p>
            <w:r>
              <w:t>34920739.0</w:t>
            </w:r>
          </w:p>
        </w:tc>
        <w:tc>
          <w:tcPr>
            <w:tcW w:type="dxa" w:w="1080"/>
          </w:tcPr>
          <w:p>
            <w:r>
              <w:t>An epigenetic aging analysis of randomized metformin and weight loss interventions in overweight postmenopausal breast cancer survivors.</w:t>
            </w:r>
          </w:p>
        </w:tc>
        <w:tc>
          <w:tcPr>
            <w:tcW w:type="dxa" w:w="1080"/>
          </w:tcPr>
          <w:p>
            <w:r>
              <w:t>Metformin and weight loss relationships with epigenetic age measures-biological aging biomarkers-remain understudied. We performed a post-hoc analysis of a randomized controlled trial among overweight/obese breast cancer survivors (N = 192) assigned to metformin, placebo, weight loss with metformin, or weight loss with placebo interventions for 6 months. Epigenetic age was correlated with chronological age (r = 0.20-0.86; P &lt; 0.005). However, no significant epigenetic aging associations were observed by intervention arms. Consistent with published reports in non-cancer patients, 6 months of metformin therapy may be inadequate to observe expected epigenetic age deceleration. Longer duration studies are needed to better characterize these relationships.Trial Registration: Registry Name: ClincialTrials.Gov.Registration Number: NCT01302379.Date of Registration: February 2011.URL: https://clinicaltrials.gov/ct2/show/NCT01302379.</w:t>
            </w:r>
          </w:p>
        </w:tc>
        <w:tc>
          <w:tcPr>
            <w:tcW w:type="dxa" w:w="1080"/>
          </w:tcPr>
          <w:p>
            <w:r>
              <w:t>Nwanaji-Enwerem JC, Chung FF, Van der Laan L, Novoloaca A, Cuenin C, Johansson H, Bonanni B, Hubbard AE, Smith MT, Hartman SJ, Cardenas A, Sears DD, Herceg Z.</w:t>
            </w:r>
          </w:p>
        </w:tc>
        <w:tc>
          <w:tcPr>
            <w:tcW w:type="dxa" w:w="1080"/>
          </w:tcPr>
          <w:p>
            <w:r>
              <w:t>2021.0</w:t>
            </w:r>
          </w:p>
        </w:tc>
      </w:tr>
      <w:tr>
        <w:tc>
          <w:tcPr>
            <w:tcW w:type="dxa" w:w="1080"/>
          </w:tcPr>
          <w:p>
            <w:r>
              <w:t>europepmc</w:t>
            </w:r>
          </w:p>
        </w:tc>
        <w:tc>
          <w:tcPr>
            <w:tcW w:type="dxa" w:w="1080"/>
          </w:tcPr>
          <w:p>
            <w:r>
              <w:t>PMC9766449</w:t>
            </w:r>
          </w:p>
        </w:tc>
        <w:tc>
          <w:tcPr>
            <w:tcW w:type="dxa" w:w="1080"/>
          </w:tcPr>
          <w:p>
            <w:r/>
          </w:p>
        </w:tc>
        <w:tc>
          <w:tcPr>
            <w:tcW w:type="dxa" w:w="1080"/>
          </w:tcPr>
          <w:p>
            <w:r/>
          </w:p>
        </w:tc>
        <w:tc>
          <w:tcPr>
            <w:tcW w:type="dxa" w:w="1080"/>
          </w:tcPr>
          <w:p>
            <w:r>
              <w:t>VITAMIN D DEFICIENCY AND FASTER EPIGENETIC AGING: RESULTS FROM THE BERLIN AGING STUDY II (BASE-II)</w:t>
            </w:r>
          </w:p>
        </w:tc>
        <w:tc>
          <w:tcPr>
            <w:tcW w:type="dxa" w:w="1080"/>
          </w:tcPr>
          <w:p>
            <w:r>
              <w:t>Abstract Particularly older people are at risk for deficient vitamin D levels, as their capability for cutaneous synthetization is lower and they are often less exposed to sunlight. However, the resulting impact on one individual’s health is not fully understood. To examine potential consequences of low vitamin D levels for health of older people, we examined its relationship with a DNA related biomarker of aging, DNA methylation age acceleration (DNAmAA). Several epigenetic clocks, that are used to estimate this parameter from methylation fractions of specific cytosine-phosphate-guanine sites, are available and differ in aspects of aging they represent best. Five clocks, 7-CpG clock, Horvath’s clock, Hannum’s clock, PhenoAge, and GrimAge, were available in the longitudinal BASE-II cohort (n=1,100) at follow-up examination. DNAmAA estimated from 7-CpG clock and GrimAge was associated with vitamin D levels in covariate adjusted regression analysis. Additionally, a quasi-interventional study design was employed and showed 2.6 year lower 7-CpG DNAmAA (p=0.011) and 1.3-year lower Horvath DNAmAA (p=0.042) in vitamin D deficient participants that chose to start vitamin D supplementation during the follow-up period of 7.4 ± 1.5 years compared to a matched control-group of participants with untreated vitamin D deficiency. No statistically significant difference was found between sufficiently treated participants with vitamin D deficiency and a matched group of participants that reached sufficient vitamin D level without supplementation. Although validation of our results in a randomized controlled trial is needed, our findings suggest, that vitamin D deficiency associated higher rates of epigenetic aging can potentially be reversed through supplementation.</w:t>
            </w:r>
          </w:p>
        </w:tc>
        <w:tc>
          <w:tcPr>
            <w:tcW w:type="dxa" w:w="1080"/>
          </w:tcPr>
          <w:p>
            <w:r/>
          </w:p>
        </w:tc>
        <w:tc>
          <w:tcPr>
            <w:tcW w:type="dxa" w:w="1080"/>
          </w:tcPr>
          <w:p>
            <w:r>
              <w:t>2022.0</w:t>
            </w:r>
          </w:p>
        </w:tc>
      </w:tr>
      <w:tr>
        <w:tc>
          <w:tcPr>
            <w:tcW w:type="dxa" w:w="1080"/>
          </w:tcPr>
          <w:p>
            <w:r>
              <w:t>europepmc</w:t>
            </w:r>
          </w:p>
        </w:tc>
        <w:tc>
          <w:tcPr>
            <w:tcW w:type="dxa" w:w="1080"/>
          </w:tcPr>
          <w:p>
            <w:r>
              <w:t>30256915</w:t>
            </w:r>
          </w:p>
        </w:tc>
        <w:tc>
          <w:tcPr>
            <w:tcW w:type="dxa" w:w="1080"/>
          </w:tcPr>
          <w:p>
            <w:r>
              <w:t>10.1093/gerona/gly223</w:t>
            </w:r>
          </w:p>
        </w:tc>
        <w:tc>
          <w:tcPr>
            <w:tcW w:type="dxa" w:w="1080"/>
          </w:tcPr>
          <w:p>
            <w:r>
              <w:t>30256915.0</w:t>
            </w:r>
          </w:p>
        </w:tc>
        <w:tc>
          <w:tcPr>
            <w:tcW w:type="dxa" w:w="1080"/>
          </w:tcPr>
          <w:p>
            <w:r>
              <w:t>Effects of Vitamin D3 Supplementation on Epigenetic Aging in Overweight and Obese African Americans With Suboptimal Vitamin D Status: A Randomized Clinical Trial.</w:t>
            </w:r>
          </w:p>
        </w:tc>
        <w:tc>
          <w:tcPr>
            <w:tcW w:type="dxa" w:w="1080"/>
          </w:tcPr>
          <w:p>
            <w:r>
              <w:t>&lt;h4&gt;Background&lt;/h4&gt;We have previously shown that vitamin D supplementation increases telomerase activity, suggesting an anti-aging effect. In this study, we aim to test the hypothesis that vitamin D supplementation would slow down epigenetic aging, a new marker of biological aging.&lt;h4&gt;Methods&lt;/h4&gt;A randomized clinical trial was previously conducted among 70 overweight/obese African Americans with serum 25-hydroxyvitamin D [25(OH)D] &lt; 50 nmol/L, who were randomly assigned into four groups of 600 IU/d, 2,000 IU/d, 4,000 IU/d of vitamin D3 supplements or placebo followed by 16-week interventions. Whole genome-wide DNA methylation analysis was conducted in 51 participants. DNA methylation ages were calculated according to the Horvath and the Hannum methods. Methylation-based age acceleration index (∆Age) is defined as the difference between DNA methylation age and chronological age in years. Mixed-effects models were used to evaluate the treatment effects.&lt;h4&gt;Results&lt;/h4&gt;Fifty-one participants (aged 26.1 ± 9.3 years, 16% are male) were included in the study. After the adjustment of multi-covariates, vitamin D3 supplementation of 4,000 IU/d was associated with 1.85 years decrease in Horvath epigenetic aging compared with placebo (p value = .046), and 2,000 IU/d was associated with 1.90 years decrease in Hannum epigenetic aging (p value = .044). Serum 25(OH)D concentrations were significantly associated with decreased Horvath ∆Age only (p values = .002), regardless of treatments.&lt;h4&gt;Conclusions&lt;/h4&gt;Our results suggest that vitamin D supplementation may slow down Horvath epigenetic aging. But the effect on Hannum epigenetic aging is not conclusive. Large-scale and longer duration clinical trials are needed to replicate the findings.</w:t>
            </w:r>
          </w:p>
        </w:tc>
        <w:tc>
          <w:tcPr>
            <w:tcW w:type="dxa" w:w="1080"/>
          </w:tcPr>
          <w:p>
            <w:r>
              <w:t>Chen L, Dong Y, Bhagatwala J, Raed A, Huang Y, Zhu H.</w:t>
            </w:r>
          </w:p>
        </w:tc>
        <w:tc>
          <w:tcPr>
            <w:tcW w:type="dxa" w:w="1080"/>
          </w:tcPr>
          <w:p>
            <w:r>
              <w:t>2019.0</w:t>
            </w:r>
          </w:p>
        </w:tc>
      </w:tr>
      <w:tr>
        <w:tc>
          <w:tcPr>
            <w:tcW w:type="dxa" w:w="1080"/>
          </w:tcPr>
          <w:p>
            <w:r>
              <w:t>europepmc</w:t>
            </w:r>
          </w:p>
        </w:tc>
        <w:tc>
          <w:tcPr>
            <w:tcW w:type="dxa" w:w="1080"/>
          </w:tcPr>
          <w:p>
            <w:r>
              <w:t>42119652</w:t>
            </w:r>
          </w:p>
        </w:tc>
        <w:tc>
          <w:tcPr>
            <w:tcW w:type="dxa" w:w="1080"/>
          </w:tcPr>
          <w:p>
            <w:r>
              <w:t>10.1016/j.exger.2026.113168</w:t>
            </w:r>
          </w:p>
        </w:tc>
        <w:tc>
          <w:tcPr>
            <w:tcW w:type="dxa" w:w="1080"/>
          </w:tcPr>
          <w:p>
            <w:r>
              <w:t>42119652.0</w:t>
            </w:r>
          </w:p>
        </w:tc>
        <w:tc>
          <w:tcPr>
            <w:tcW w:type="dxa" w:w="1080"/>
          </w:tcPr>
          <w:p>
            <w:r>
              <w:t>Interpretable machine learning with SHAP analysis identifies redox-modulating dietary antioxidants for predicting accelerated biological aging.</w:t>
            </w:r>
          </w:p>
        </w:tc>
        <w:tc>
          <w:tcPr>
            <w:tcW w:type="dxa" w:w="1080"/>
          </w:tcPr>
          <w:p>
            <w:r>
              <w:t>&lt;h4&gt;Background&lt;/h4&gt;Aging is a complex biological process characterized by progressive functional decline across multiple physiological systems, and biological age provides a more accurate reflection of an individual's aging status than chronological age. Dietary antioxidants represent key modifiable targets for delaying aging; however, existing studies lack systematic screening and precise identification of core antioxidant components, and traditional statistical methods have inherent limitations in handling complex associations within high-dimensional dietary data. This study aimed to develop an interpretable machine learning model for predicting accelerated biological aging, and to identify core dietary antioxidants closely associated with accelerated aging risk.&lt;h4&gt;Methods&lt;/h4&gt;This study analyzed data from the U.S. National Health and Nutrition Examination Survey (NHANES) 2007-2010 and 2017-2018 cycles, with a final total of 8125 participants included in the analysis. Accelerated biological aging, the primary outcome, was defined using two gold-standard metrics: the Klemera-Doubal Method (KDM) and Phenotypic Age (PhenoAge). Eight machine learning models were constructed, and their performance was evaluated via 10-fold cross-validation. The SHapley Additive Explanations (SHAP) framework was applied to quantify the predictive contribution of each feature. Multivariable logistic regression, restricted cubic spline models, subgroup analyses, and interaction tests were performed to validate the robustness of the observed associations and characterize their dose-response relationships.&lt;h4&gt;Results&lt;/h4&gt;The XGBoost model exhibited the optimal predictive performance for accelerated aging defined by both metrics, with an area under the receiver operating characteristic curve (AUC) of 0.931 (KDM) and 0.906 (PhenoAge) in 10-fold cross-validation. SHAP analysis consistently identified daidzein, apigenin, magnesium, zinc, and vitamin E as the core dietary antioxidants with the highest predictive contribution to accelerated aging risk. Dose-response analyses revealed significant inverse linear and nonlinear associations between higher intake of these five antioxidants and accelerated aging risk, and these associations were consistently observed across sex and age subgroups.&lt;h4&gt;Conclusion&lt;/h4&gt;The interpretable machine learning framework based on dietary antioxidant profiles can robustly predict accelerated biological aging. XGBoost demonstrated the best performance in predicting accelerated aging risk. Daidzein, apigenin, magnesium, zinc, and vitamin E are core dietary antioxidants closely associated with a reduced risk of accelerated biological aging. This study provides analytical reference at the large population level for the development of nutritional intervention strategies targeting healthy aging. Given the cross-sectional design of the study, our findings only reflect predictive associations rather than causal relationships, and warrant further validation in prospective cohort studies and randomized controlled trials.</w:t>
            </w:r>
          </w:p>
        </w:tc>
        <w:tc>
          <w:tcPr>
            <w:tcW w:type="dxa" w:w="1080"/>
          </w:tcPr>
          <w:p>
            <w:r>
              <w:t>Zhang B, Zhang X, Ma L, Li D, Li Y, Lin S, Peng L, He L.</w:t>
            </w:r>
          </w:p>
        </w:tc>
        <w:tc>
          <w:tcPr>
            <w:tcW w:type="dxa" w:w="1080"/>
          </w:tcPr>
          <w:p>
            <w:r>
              <w:t>2026.0</w:t>
            </w:r>
          </w:p>
        </w:tc>
      </w:tr>
      <w:tr>
        <w:tc>
          <w:tcPr>
            <w:tcW w:type="dxa" w:w="1080"/>
          </w:tcPr>
          <w:p>
            <w:r>
              <w:t>europepmc</w:t>
            </w:r>
          </w:p>
        </w:tc>
        <w:tc>
          <w:tcPr>
            <w:tcW w:type="dxa" w:w="1080"/>
          </w:tcPr>
          <w:p>
            <w:r>
              <w:t>PPR400171</w:t>
            </w:r>
          </w:p>
        </w:tc>
        <w:tc>
          <w:tcPr>
            <w:tcW w:type="dxa" w:w="1080"/>
          </w:tcPr>
          <w:p>
            <w:r>
              <w:t>10.1101/2021.09.21.21263912</w:t>
            </w:r>
          </w:p>
        </w:tc>
        <w:tc>
          <w:tcPr>
            <w:tcW w:type="dxa" w:w="1080"/>
          </w:tcPr>
          <w:p>
            <w:r/>
          </w:p>
        </w:tc>
        <w:tc>
          <w:tcPr>
            <w:tcW w:type="dxa" w:w="1080"/>
          </w:tcPr>
          <w:p>
            <w:r>
              <w:t>Effect of Long-Term Caloric Restriction on DNA Methylation Measures of Biological Aging in Healthy Adults: CALERIE™ Trial Analysis</w:t>
            </w:r>
          </w:p>
        </w:tc>
        <w:tc>
          <w:tcPr>
            <w:tcW w:type="dxa" w:w="1080"/>
          </w:tcPr>
          <w:p>
            <w:r>
              <w:t>&lt;h4&gt;ABSTRACT&lt;/h4&gt; Calorie restriction (CR) slows aging and increases healthy lifespan in model organisms. We tested if CR slowed biological aging in humans using DNA methylation analysis of blood samples from N=197 participants in the Comprehensive Assessment of Long-term Effects of Reducing Intake of Energy (CALERIE™) randomized controlled trial. We quantified CR effects on biological aging by comparing change scores for six epigenetic-clock and Pace-of-Aging measures between n=128 CR-group and n=69 ad-libitum-control-group participants at 12- and 24-month follow-ups. CR effects were strongest for DunedinPACE Pace of Aging (12-month Cohen’s d=0.3; 24-month Cohen’s d=0.2, p&lt;0.01 for both), followed by DunedinPoAm and the GrimAge epigenetic clock, although effects for these measures were not statistically different from zero (p&gt;0.08). CR effects for other epigenetic clocks were in the opposite direction (all p&gt;0.15). CALERIE intervention slowed Pace of Aging but showed minimal effect on epigenetic clocks hypothesized to reflect longer term accumulation of aging burden.</w:t>
            </w:r>
          </w:p>
        </w:tc>
        <w:tc>
          <w:tcPr>
            <w:tcW w:type="dxa" w:w="1080"/>
          </w:tcPr>
          <w:p>
            <w:r>
              <w:t>Waziry R, Corcoran D, Huffman K, Kobor M, Kothari M, Kraus V, Kraus W, Lin D, Pieper C, Ramaker M, Bhapkar M, Das S, Ferrucci L, Hastings W, Kebbe M, Parker D, Racette S, Shalev I, Schilling B, Belsky D.</w:t>
            </w:r>
          </w:p>
        </w:tc>
        <w:tc>
          <w:tcPr>
            <w:tcW w:type="dxa" w:w="1080"/>
          </w:tcPr>
          <w:p>
            <w:r>
              <w:t>2021.0</w:t>
            </w:r>
          </w:p>
        </w:tc>
      </w:tr>
      <w:tr>
        <w:tc>
          <w:tcPr>
            <w:tcW w:type="dxa" w:w="1080"/>
          </w:tcPr>
          <w:p>
            <w:r>
              <w:t>europepmc</w:t>
            </w:r>
          </w:p>
        </w:tc>
        <w:tc>
          <w:tcPr>
            <w:tcW w:type="dxa" w:w="1080"/>
          </w:tcPr>
          <w:p>
            <w:r>
              <w:t>38732590</w:t>
            </w:r>
          </w:p>
        </w:tc>
        <w:tc>
          <w:tcPr>
            <w:tcW w:type="dxa" w:w="1080"/>
          </w:tcPr>
          <w:p>
            <w:r>
              <w:t>10.3390/nu16091343</w:t>
            </w:r>
          </w:p>
        </w:tc>
        <w:tc>
          <w:tcPr>
            <w:tcW w:type="dxa" w:w="1080"/>
          </w:tcPr>
          <w:p>
            <w:r>
              <w:t>38732590.0</w:t>
            </w:r>
          </w:p>
        </w:tc>
        <w:tc>
          <w:tcPr>
            <w:tcW w:type="dxa" w:w="1080"/>
          </w:tcPr>
          <w:p>
            <w:r>
              <w:t>Targeting Aging and Longevity with Exogenous Nucleotides (TALENTs): Rationale, Design, and Baseline Characteristics from a Randomized Controlled Trial in Older Adults.</w:t>
            </w:r>
          </w:p>
        </w:tc>
        <w:tc>
          <w:tcPr>
            <w:tcW w:type="dxa" w:w="1080"/>
          </w:tcPr>
          <w:p>
            <w:r>
              <w:t>Nucleotides (NTs), important biomolecules involved in numerous cellular processes, have been proposed as potential candidates for anti-aging interventions. However, whether nucleotides can act as an anti-aging supplement in older adults remains unclear. TALENTs is a randomized, double-blinded, placebo-controlled trial that evaluates the efficacy and safety of NTs as an anti-aging supplement in older adults by exploring the effects of NTs on multiple dimensions of aging in a rigorous scientific setting. Eligible community-dwelling adults aged 60-70 years were randomly assigned equally to two groups: nucleotides intervention group and placebo control group. Comprehensive geriatric health assessments were performed at baseline, 2-months, and 4-months of the intervention. Biological specimens were collected and stored for age-related biomarker testing and multi-omics sequencing. The primary outcome was the change from baseline to 4 months on leukocyte telomere length and DNA methylation age. The secondary aims were the changes in possible mechanisms underlying aging processes (immunity, inflammatory profile, oxidative stress, gene stability, endocrine, metabolism, and cardiovascular function). Other outcomes were changes in physical function, body composition and geriatric health assessment (including sleep quality, cognitive function, fatigue, frailty, and psychology). In the RCT, 301 participants were assessed for eligibility and 122 were enrolled. Participants averaged 65.65 years of age, and were predominately female (67.21%). All baseline characteristics were well-balanced between groups, as expected due to randomization. The majority of participants were pre-frailty and had at least one chronic condition. The mean scores for physical activity, psychological, fatigue and quality of life were within the normal range. However, nearly half of the participants still had room for improvement in cognitive level and sleep quality. This TALENTs trial will represent one of the most comprehensive experimental clinical trials in which supplements are administered to elderly participants. The findings of this study will contribute to our understanding of the anti-aging effects of NTs and provide insights into their potential applications in geriatric healthcare.</w:t>
            </w:r>
          </w:p>
        </w:tc>
        <w:tc>
          <w:tcPr>
            <w:tcW w:type="dxa" w:w="1080"/>
          </w:tcPr>
          <w:p>
            <w:r>
              <w:t>Wang S, Song L, Fan R, Chen Q, You M, Cai M, Wu Y, Li Y, Xu M.</w:t>
            </w:r>
          </w:p>
        </w:tc>
        <w:tc>
          <w:tcPr>
            <w:tcW w:type="dxa" w:w="1080"/>
          </w:tcPr>
          <w:p>
            <w:r>
              <w:t>2024.0</w:t>
            </w:r>
          </w:p>
        </w:tc>
      </w:tr>
      <w:tr>
        <w:tc>
          <w:tcPr>
            <w:tcW w:type="dxa" w:w="1080"/>
          </w:tcPr>
          <w:p>
            <w:r>
              <w:t>crossref</w:t>
            </w:r>
          </w:p>
        </w:tc>
        <w:tc>
          <w:tcPr>
            <w:tcW w:type="dxa" w:w="1080"/>
          </w:tcPr>
          <w:p>
            <w:r>
              <w:t>10.1017/s2040174421000738</w:t>
            </w:r>
          </w:p>
        </w:tc>
        <w:tc>
          <w:tcPr>
            <w:tcW w:type="dxa" w:w="1080"/>
          </w:tcPr>
          <w:p>
            <w:r>
              <w:t>10.1017/s2040174421000738</w:t>
            </w:r>
          </w:p>
        </w:tc>
        <w:tc>
          <w:tcPr>
            <w:tcW w:type="dxa" w:w="1080"/>
          </w:tcPr>
          <w:p>
            <w:r/>
          </w:p>
        </w:tc>
        <w:tc>
          <w:tcPr>
            <w:tcW w:type="dxa" w:w="1080"/>
          </w:tcPr>
          <w:p>
            <w:r>
              <w:t>DNA methylation mediates a randomized controlled trial home-visiting intervention during pregnancy and the Bayley infant’s cognitive scores at 12 months of age</w:t>
            </w:r>
          </w:p>
        </w:tc>
        <w:tc>
          <w:tcPr>
            <w:tcW w:type="dxa" w:w="1080"/>
          </w:tcPr>
          <w:p>
            <w:r>
              <w:t>&lt;jats:title&gt;Abstract&lt;/jats:title&gt;&lt;jats:p&gt;The crosstalk between maternal stress exposure and fetal development may be mediated by epigenetic mechanisms, including DNA methylation (DNAm). To address this matter, we collect 32 cord blood samples from low-income Brazilian pregnant adolescents participants of a pilot randomized clinical intervention study (ClinicalTrials.gov, Identifier: NCT02807818). We hypothesized that the association between the intervention and infant neurodevelopmental outcomes at 12 months of age would be mediated by DNAm. First, we searched genome methylation differences between cases and controls using different approaches, as well as differences in age acceleration (AA), represented by the difference of methylation age and birth age. According to an adjusted&lt;jats:italic&gt;p&lt;/jats:italic&gt;-value ≤ 0.05 we identified 3090 differentially methylated positions- CpG sites (DMPs), 21 differentially methylated regions (DMRs) and one comethylated module weakly preserved between groups. The intervention group presented a smaller AA compared to the control group (&lt;jats:italic&gt;p&lt;/jats:italic&gt;= 0.025). A logistic regression controlled by sex and with gestational age indicated a coefficient of −0.35 towards intervention group (&lt;jats:italic&gt;p&lt;/jats:italic&gt;= 0.016) considering AA. A higher cognitive domain score from Bayley III scale was observed in the intervention group at 12 months of age. Then, we performed a potential causal mediation analysis selecting only DMPs highly associated with the cognitive domain (adj.&lt;jats:italic&gt;R&lt;/jats:italic&gt;&lt;jats:sup&gt;2&lt;/jats:sup&gt;&amp;gt; 0.4), DMRs and CpGs of hub genes from the weakly preserved comethylated module and epigenetic clock as raw values. DMPs in&lt;jats:italic&gt;STXBP6&lt;/jats:italic&gt;, and&lt;jats:italic&gt;PF4&lt;/jats:italic&gt;DMR, mediated the association between the maternal intervention and the cognitive domain at 12 months of age. In conclusion, DNAm in different sites and regions mediated the association between intervention and cognitive outcome.&lt;/jats:p&gt;</w:t>
            </w:r>
          </w:p>
        </w:tc>
        <w:tc>
          <w:tcPr>
            <w:tcW w:type="dxa" w:w="1080"/>
          </w:tcPr>
          <w:p>
            <w:r>
              <w:t>Verônica L. V. Euclydes; Vinicius D. Gastaldi; Arthur S. Feltrin; Daniel J. Hoffman; Gisele Gouveia; Hugo Cogo; Aloísio Felipe-Silva; Rossana P. Vieira; Eurípedes C. Miguel; Guilherme V. Polanczyk; Anna Chiesa; Lislaine Fracolli; Alicia Matijasevich; Alexandre Ferraro; Adriana Argeu; Mariana Maschietto; Helena P. Brentani</w:t>
            </w:r>
          </w:p>
        </w:tc>
        <w:tc>
          <w:tcPr>
            <w:tcW w:type="dxa" w:w="1080"/>
          </w:tcPr>
          <w:p>
            <w:r>
              <w:t>2022.0</w:t>
            </w:r>
          </w:p>
        </w:tc>
      </w:tr>
      <w:tr>
        <w:tc>
          <w:tcPr>
            <w:tcW w:type="dxa" w:w="1080"/>
          </w:tcPr>
          <w:p>
            <w:r>
              <w:t>crossref</w:t>
            </w:r>
          </w:p>
        </w:tc>
        <w:tc>
          <w:tcPr>
            <w:tcW w:type="dxa" w:w="1080"/>
          </w:tcPr>
          <w:p>
            <w:r>
              <w:t>10.1093/ecco-jcc/jjaf231.1490</w:t>
            </w:r>
          </w:p>
        </w:tc>
        <w:tc>
          <w:tcPr>
            <w:tcW w:type="dxa" w:w="1080"/>
          </w:tcPr>
          <w:p>
            <w:r>
              <w:t>10.1093/ecco-jcc/jjaf231.1490</w:t>
            </w:r>
          </w:p>
        </w:tc>
        <w:tc>
          <w:tcPr>
            <w:tcW w:type="dxa" w:w="1080"/>
          </w:tcPr>
          <w:p>
            <w:r/>
          </w:p>
        </w:tc>
        <w:tc>
          <w:tcPr>
            <w:tcW w:type="dxa" w:w="1080"/>
          </w:tcPr>
          <w:p>
            <w:r>
              <w:t>P1309 Biological age acceleration in Crohn’s Disease patients in long-term remission on combination therapy: epigenetic analysis of the SPARE &amp;amp; STORI trial population</w:t>
            </w:r>
          </w:p>
        </w:tc>
        <w:tc>
          <w:tcPr>
            <w:tcW w:type="dxa" w:w="1080"/>
          </w:tcPr>
          <w:p>
            <w:r>
              <w:t>&lt;jats:title&gt;Abstract&lt;/jats:title&gt;</w:t>
              <w:br/>
              <w:t xml:space="preserve">                  &lt;jats:sec&gt;</w:t>
              <w:br/>
              <w:t xml:space="preserve">                    &lt;jats:title&gt;Background&lt;/jats:title&gt;</w:t>
              <w:br/>
              <w:t xml:space="preserve">                    &lt;jats:p&gt;Consistent alterations in DNA methylation in peripheral blood are reported at Inflammatory Bowel Disease (IBD) diagnosis1,2; the ‘IBD methylome’. These data provide new insights into disease mechanisms and potential for biomarker discovery. Biological age can be accurately measured by DNA methylation clocks, and compared with chronological age to derive epigenetic age acceleration (EAA). Previous studies demonstrate EAA in patients with active inflammation. We studied EAA in two well-characterised cohorts of adult Crohn’s disease (CD) patients in sustained remission on combination infliximab and immunomodulator therapy whilst evaluated for treatment withdrawal.&lt;/jats:p&gt;</w:t>
              <w:br/>
              <w:t xml:space="preserve">                  &lt;/jats:sec&gt;</w:t>
              <w:br/>
              <w:t xml:space="preserve">                  &lt;jats:sec&gt;</w:t>
              <w:br/>
              <w:t xml:space="preserve">                    &lt;jats:title&gt;Methods&lt;/jats:title&gt;</w:t>
              <w:br/>
              <w:t xml:space="preserve">                    &lt;jats:p&gt;STORI3 was a multicentre study (France/Belgium; n = 115) of patients after infliximab withdrawal. SPARE4 was a multicentre trial (seven European countries; n = 211) comparing therapy continuation vs infliximab- or immunomodulator withdrawal. Baseline blood DNA methylation was profiled on the Illumina Infinium MethylationEPIC v1.0 array. Epigenetic age was estimated using Levine’s DNAm PhenoAge clock (92 STORI; 170 SPARE). EAA was obtained by regressing DNAm PhenoAge on chronological age, adjusting for cell counts. Clinical variables included age at diagnosis, disease duration, smoking status, C-reactive protein (CRP), CD Activity Index (CDAI), CD Endoscopic Index of Severity (CDEIS), and relapse after infliximab withdrawal.&lt;/jats:p&gt;</w:t>
              <w:br/>
              <w:t xml:space="preserve">                  &lt;/jats:sec&gt;</w:t>
              <w:br/>
              <w:t xml:space="preserve">                  &lt;jats:sec&gt;</w:t>
              <w:br/>
              <w:t xml:space="preserve">                    &lt;jats:title&gt;Results&lt;/jats:title&gt;</w:t>
              <w:br/>
              <w:t xml:space="preserve">                    &lt;jats:p&gt;In both cohorts, chronological age strongly correlated with DNAm PhenoAge (STORI: R = 0.76, p &amp;amp;lt; 2.2 × 10⁻¹6, Figure 1A; SPARE: R = 0.85, p &amp;amp;lt; 2.2 × 10⁻¹6). Median EAA was 0.08 years (STORI) and 0.09 years (SPARE). A proportion of patients showed marked biological ageing. In STORI, 8.7% exhibited 5–10 years EAA and 6.5% &amp;amp;gt;10 years; in SPARE, 14.7% and 4.7%. In search of the drivers of EAA, no significant associations were found between EAA and age at diagnosis, disease duration, smoking status, baseline CRP, CDAI, or CDEIS. EAA did not differ between patients who relapsed and those who remained in remission on follow-up (STORI: W = 1187, p = 0.18, Figure 1B; SPARE: W = 2001, p = 0.73).&lt;/jats:p&gt;</w:t>
              <w:br/>
              <w:t xml:space="preserve">                  &lt;/jats:sec&gt;</w:t>
              <w:br/>
              <w:t xml:space="preserve">                  &lt;jats:sec&gt;</w:t>
              <w:br/>
              <w:t xml:space="preserve">                    &lt;jats:title&gt;Conclusion&lt;/jats:title&gt;</w:t>
              <w:br/>
              <w:t xml:space="preserve">                    &lt;jats:p&gt;Across two independent CD cohorts, median biological age was highly correlated with chronological age. However, 15-20% patients had age acceleration of  &amp;amp;gt;5 years even in long-term remission. These data complement previous studies1,2, adding to the interest in the factors driving age acceleration in IBD, and its potential prognostic importance. We will extend these analyses in search of the drivers of accelerated biological ageing in these patients. In addition, we will extend epigenetic analyses with genetic and proteomic studies, to identify biomarker profiles predictive of infliximab withdrawal outcomes, which may be suitable for clinical translation.&lt;/jats:p&gt;</w:t>
              <w:br/>
              <w:t xml:space="preserve">                    &lt;jats:p&gt;References:&lt;/jats:p&gt;</w:t>
              <w:br/>
              <w:t xml:space="preserve">                    &lt;jats:p&gt;1. Ventham NT, Kennedy NA, Adams AT, et al. Integrative epigenome-wide analysis demonstrates that DNA methylation may mediate genetic risk in inflammatory bowel disease. Nat Commun. Nov 25 2016;7:13507. doi:10.1038/ncomms13507&lt;/jats:p&gt;</w:t>
              <w:br/>
              <w:t xml:space="preserve">                    &lt;jats:p&gt;2. Noble A, Adams A, Nowak J, et al. The Circulating Methylome in Childhood-Onset Inflammatory Bowel Disease. J Crohns Colitis. Mar 5 2025;19(3). doi:10.1093/ecco-jcc/jjae157&lt;/jats:p&gt;</w:t>
              <w:br/>
              <w:t xml:space="preserve">                    &lt;jats:p&gt;3. Louis E, Mary JY, Vernier-Massouille G, et al. Maintenance of remission among patients with Crohn’s disease on antimetabolite therapy after infliximab therapy is stopped. Gastroenterology. Jan 2012;142(1):63-70 e5; quiz e31. doi:10.1053/j.gastro.2011.09.034&lt;/jats:p&gt;</w:t>
              <w:br/>
              <w:t xml:space="preserve">                    &lt;jats:p&gt;4. Louis E, Resche-Rigon M, Laharie D, et al. Withdrawal of infliximab or concomitant immunosuppressant therapy in patients with Crohn’s disease on combination therapy (SPARE): a multicentre, open-label, randomised controlled trial. Lancet Gastroenterol Hepatol. Mar 2023;8(3):215-227. doi:10.1016/S2468-1253(22)00385-5&lt;/jats:p&gt;</w:t>
              <w:br/>
              <w:t xml:space="preserve">                    &lt;jats:p&gt;Conflict of interest:&lt;/jats:p&gt;</w:t>
              <w:br/>
              <w:t xml:space="preserve">                    &lt;jats:p&gt;Dr. Ramsteijn, Anouschka: No conflict of interest&lt;/jats:p&gt;</w:t>
              <w:br/>
              <w:t xml:space="preserve">                    &lt;jats:p&gt;Noble, Alexandra: Grants from Girdlers’ New Zealand Health Research Council Fellowship (24/389).&lt;/jats:p&gt;</w:t>
              <w:br/>
              <w:t xml:space="preserve">                    &lt;jats:p&gt;Antunes, Catia: No conflict of interest&lt;/jats:p&gt;</w:t>
              <w:br/>
              <w:t xml:space="preserve">                    &lt;jats:p&gt;Flores, Belén Morón: No conflict of interest&lt;/jats:p&gt;</w:t>
              <w:br/>
              <w:t xml:space="preserve">                    &lt;jats:p&gt;Glapa-Nowak, Aleksandra: No conflict of interest&lt;/jats:p&gt;</w:t>
              <w:br/>
              <w:t xml:space="preserve">                    &lt;jats:p&gt;Cabras, Silvia: No conflict of interest&lt;/jats:p&gt;</w:t>
              <w:br/>
              <w:t xml:space="preserve">                    &lt;jats:p&gt;Meuwis, Marie-Alice: No conflict of interest&lt;/jats:p&gt;</w:t>
              <w:br/>
              <w:t xml:space="preserve">                    &lt;jats:p&gt;Laharie, David: Personal Fees: Board, consulting and lecture fees from Abbvie, Alfasigma, Amgen, Biocon, Celltrion, Ferring, Fresenius-Kabi, Johnson &amp;amp; Johnson, Lilly, MSD, Pfizer, Sandoz and Takeda&lt;/jats:p&gt;</w:t>
              <w:br/>
              <w:t xml:space="preserve">                    &lt;jats:p&gt;Colombel, Jean-Frédéric: Grant: AbbVie, Janssen Pharmaceuticals, Takeda, Prometheus and Bristol Myers Squibb Lectures from: AbbVie, Roche and Takeda Other: AbbVie, Amgen, AnaptysBio, Allergan, Apini, Arena Pharmaceuticals, Astellas, Boehringer Ingelheim, Bristol Myers Squibb, candidrx Celgene, Celltrion, Clearview Curogen, Eli Lilly, Envision Pharma Ferring Pharmaceuticals, Galmed Research, Glaxo Smith Kline, Roche, Janssen Pharmaceuticals, Kaleido Biosciences, Immunic, Iterative Scopes, Landos, Microba Life Science, Merck, Mirador, Novartis, Otsuka Pharmaceutical, Owkin, Pfizer, Protagonist Therapeutics, Sanofi, Sun Pharma, Takeda, Teva, TiGenix, and is holding stock options in Intestinal Biotech Development&lt;/jats:p&gt;</w:t>
              <w:br/>
              <w:t xml:space="preserve">                    &lt;jats:p&gt;Louis, Edouard: Education and Reserach Grants for my department: Abbvie, Takeda, Johnson and Johnson, Pfizer, Fresenius-Kabi, Celltrion, EG pharma, Sandoz, Falk Personal Fees for conferences, advisory boards and consultancy: Abbvie, Takeda, Ferring, Pfizer, Johnson and Johnson, Lilly, Galapagos, Celltrion, Arena, BMS, Falk, Biokuris, Fresenius-Kabi, Thabor&lt;/jats:p&gt;</w:t>
              <w:br/>
              <w:t xml:space="preserve">                    &lt;jats:p&gt;Satsangi, Jack: Grant: Grants to Oxford University from Helmsley Trust &amp;amp; European Community.&lt;/jats:p&gt;</w:t>
              <w:br/>
              <w:t xml:space="preserve">                    &lt;jats:p/&gt;</w:t>
              <w:br/>
              <w:t xml:space="preserve">                  &lt;/jats:sec&gt;</w:t>
            </w:r>
          </w:p>
        </w:tc>
        <w:tc>
          <w:tcPr>
            <w:tcW w:type="dxa" w:w="1080"/>
          </w:tcPr>
          <w:p>
            <w:r>
              <w:t>A Ramsteijn; A Noble; C Antunes; B M Flores; A Glapa-Nowak; S Cabras; M A Meuwis; D Laharie; J F Colombel; E Louis; J Satsangi</w:t>
            </w:r>
          </w:p>
        </w:tc>
        <w:tc>
          <w:tcPr>
            <w:tcW w:type="dxa" w:w="1080"/>
          </w:tcPr>
          <w:p>
            <w:r>
              <w:t>2026.0</w:t>
            </w:r>
          </w:p>
        </w:tc>
      </w:tr>
      <w:tr>
        <w:tc>
          <w:tcPr>
            <w:tcW w:type="dxa" w:w="1080"/>
          </w:tcPr>
          <w:p>
            <w:r>
              <w:t>openalex</w:t>
            </w:r>
          </w:p>
        </w:tc>
        <w:tc>
          <w:tcPr>
            <w:tcW w:type="dxa" w:w="1080"/>
          </w:tcPr>
          <w:p>
            <w:r>
              <w:t>https://openalex.org/W3148476387</w:t>
            </w:r>
          </w:p>
        </w:tc>
        <w:tc>
          <w:tcPr>
            <w:tcW w:type="dxa" w:w="1080"/>
          </w:tcPr>
          <w:p>
            <w:r>
              <w:t>10.1016/s2352-3018(21)00006-0</w:t>
            </w:r>
          </w:p>
        </w:tc>
        <w:tc>
          <w:tcPr>
            <w:tcW w:type="dxa" w:w="1080"/>
          </w:tcPr>
          <w:p>
            <w:r>
              <w:t>33794182.0</w:t>
            </w:r>
          </w:p>
        </w:tc>
        <w:tc>
          <w:tcPr>
            <w:tcW w:type="dxa" w:w="1080"/>
          </w:tcPr>
          <w:p>
            <w:r>
              <w:t>Epigenetic age acceleration changes 2 years after antiretroviral therapy initiation in adults with HIV: a substudy of the NEAT001/ANRS143 randomised trial</w:t>
            </w:r>
          </w:p>
        </w:tc>
        <w:tc>
          <w:tcPr>
            <w:tcW w:type="dxa" w:w="1080"/>
          </w:tcPr>
          <w:p>
            <w:r/>
          </w:p>
        </w:tc>
        <w:tc>
          <w:tcPr>
            <w:tcW w:type="dxa" w:w="1080"/>
          </w:tcPr>
          <w:p>
            <w:r>
              <w:t>Andrés Esteban-Cantos; Javier Rodríguez-Centeno; Pilar Barrúz; Belén Alejos; Gabriel Saiz-Medrano; Julián Nevado; Artur Martin; Francisco Gayá; Rosa de Miguel Buckley; José Ignacio Bernardino; Rocío Montejano; Beatriz Mena-Garay; Julen Cadiñanos; Éric Florence; Fiona Mulcahy; Dénes Bánhegyi; Andrea Antinori; Anton Pozniak; Cédrick Wallet; François Raffi; Berta Rodés; José Ramón Arribas</w:t>
            </w:r>
          </w:p>
        </w:tc>
        <w:tc>
          <w:tcPr>
            <w:tcW w:type="dxa" w:w="1080"/>
          </w:tcPr>
          <w:p>
            <w:r>
              <w:t>2021.0</w:t>
            </w:r>
          </w:p>
        </w:tc>
      </w:tr>
      <w:tr>
        <w:tc>
          <w:tcPr>
            <w:tcW w:type="dxa" w:w="1080"/>
          </w:tcPr>
          <w:p>
            <w:r>
              <w:t>clinicaltrials</w:t>
            </w:r>
          </w:p>
        </w:tc>
        <w:tc>
          <w:tcPr>
            <w:tcW w:type="dxa" w:w="1080"/>
          </w:tcPr>
          <w:p>
            <w:r>
              <w:t>NCT05593939</w:t>
            </w:r>
          </w:p>
        </w:tc>
        <w:tc>
          <w:tcPr>
            <w:tcW w:type="dxa" w:w="1080"/>
          </w:tcPr>
          <w:p>
            <w:r/>
          </w:p>
        </w:tc>
        <w:tc>
          <w:tcPr>
            <w:tcW w:type="dxa" w:w="1080"/>
          </w:tcPr>
          <w:p>
            <w:r/>
          </w:p>
        </w:tc>
        <w:tc>
          <w:tcPr>
            <w:tcW w:type="dxa" w:w="1080"/>
          </w:tcPr>
          <w:p>
            <w:r>
              <w:t>Slow Age: a Randomized, Controlled Clinical Trial of Interventions to Slow Aging in Humans</w:t>
            </w:r>
          </w:p>
        </w:tc>
        <w:tc>
          <w:tcPr>
            <w:tcW w:type="dxa" w:w="1080"/>
          </w:tcPr>
          <w:p>
            <w:r>
              <w:t>The proportion of older individuals is growing, and it is therefore important to investigate ways to promote healthy aging. Exercise is one of the most studied interventions and is known to have a variety of health benefits. Dietary interventions have also shown encouraging results, with intermittent fasting being a promising anti-aging intervention. Likewise, dietary supplementation with precursors that can increase the central metabolite nicotinamide dinucleotide (NAD+) has powerful effects on aging at least in model organisms. Although physical exercise is known to increase health-span, the effects of these latter dietary interventions on aging lacks evidence in humans.</w:t>
              <w:br/>
              <w:br/>
              <w:t>This is a randomized, controlled trial of interventions to slow aging in humans. Healthy older individuals will be randomized into either an aerobic exercise (EXE), time-restricted feeding (TRF), nicotinamide riboside (NR), or control group and followed for twelve weeks. Changes in biomarkers of aging will be assessed before and after the intervention. It is hypothesized that the interventions provide similar, superior benefits to these markers when compared to placebo.</w:t>
              <w:br/>
              <w:br/>
              <w:t>Primary Outcome: Interleukin-6 levels. Secondary Outcomes: CRP, TNF-α, NAD+, hematologic age, epigenetic age (DNA methylation), transcriptomic age (RNA-sequencing), functional age (handgrip strength, gait speed), body composition, vocal age, and photo age</w:t>
            </w:r>
          </w:p>
        </w:tc>
        <w:tc>
          <w:tcPr>
            <w:tcW w:type="dxa" w:w="1080"/>
          </w:tcPr>
          <w:p>
            <w:r/>
          </w:p>
        </w:tc>
        <w:tc>
          <w:tcPr>
            <w:tcW w:type="dxa" w:w="1080"/>
          </w:tcPr>
          <w:p>
            <w:r>
              <w:t>2022.0</w:t>
            </w:r>
          </w:p>
        </w:tc>
      </w:tr>
    </w:tbl>
    <w:p>
      <w:pPr>
        <w:pStyle w:val="Heading1"/>
      </w:pPr>
      <w:r>
        <w:t>S2. Study-level adjusted effects (extraction snippets)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study_id</w:t>
            </w:r>
          </w:p>
        </w:tc>
        <w:tc>
          <w:tcPr>
            <w:tcW w:type="dxa" w:w="1080"/>
          </w:tcPr>
          <w:p>
            <w:r>
              <w:t>clock</w:t>
            </w:r>
          </w:p>
        </w:tc>
        <w:tc>
          <w:tcPr>
            <w:tcW w:type="dxa" w:w="1080"/>
          </w:tcPr>
          <w:p>
            <w:r>
              <w:t>effect_metric</w:t>
            </w:r>
          </w:p>
        </w:tc>
        <w:tc>
          <w:tcPr>
            <w:tcW w:type="dxa" w:w="1080"/>
          </w:tcPr>
          <w:p>
            <w:r>
              <w:t>value</w:t>
            </w:r>
          </w:p>
        </w:tc>
        <w:tc>
          <w:tcPr>
            <w:tcW w:type="dxa" w:w="1080"/>
          </w:tcPr>
          <w:p>
            <w:r>
              <w:t>se</w:t>
            </w:r>
          </w:p>
        </w:tc>
        <w:tc>
          <w:tcPr>
            <w:tcW w:type="dxa" w:w="1080"/>
          </w:tcPr>
          <w:p>
            <w:r>
              <w:t>ci_lower</w:t>
            </w:r>
          </w:p>
        </w:tc>
        <w:tc>
          <w:tcPr>
            <w:tcW w:type="dxa" w:w="1080"/>
          </w:tcPr>
          <w:p>
            <w:r>
              <w:t>ci_upper</w:t>
            </w:r>
          </w:p>
        </w:tc>
        <w:tc>
          <w:tcPr>
            <w:tcW w:type="dxa" w:w="1080"/>
          </w:tcPr>
          <w:p>
            <w:r>
              <w:t>n_int</w:t>
            </w:r>
          </w:p>
        </w:tc>
      </w:tr>
      <w:tr>
        <w:tc>
          <w:tcPr>
            <w:tcW w:type="dxa" w:w="1080"/>
          </w:tcPr>
          <w:p>
            <w:r>
              <w:t>ChapnickM_2025_d1605d</w:t>
            </w:r>
          </w:p>
        </w:tc>
        <w:tc>
          <w:tcPr>
            <w:tcW w:type="dxa" w:w="1080"/>
          </w:tcPr>
          <w:p>
            <w:r>
              <w:t>DunedinPACE</w:t>
            </w:r>
          </w:p>
        </w:tc>
        <w:tc>
          <w:tcPr>
            <w:tcW w:type="dxa" w:w="1080"/>
          </w:tcPr>
          <w:p>
            <w:r>
              <w:t>mean_difference_pace</w:t>
            </w:r>
          </w:p>
        </w:tc>
        <w:tc>
          <w:tcPr>
            <w:tcW w:type="dxa" w:w="1080"/>
          </w:tcPr>
          <w:p>
            <w:r>
              <w:t>-0.03</w:t>
            </w:r>
          </w:p>
        </w:tc>
        <w:tc>
          <w:tcPr>
            <w:tcW w:type="dxa" w:w="1080"/>
          </w:tcPr>
          <w:p>
            <w:r>
              <w:t>0.0142857142857142</w:t>
            </w:r>
          </w:p>
        </w:tc>
        <w:tc>
          <w:tcPr>
            <w:tcW w:type="dxa" w:w="1080"/>
          </w:tcPr>
          <w:p>
            <w:r>
              <w:t>-0.06</w:t>
            </w:r>
          </w:p>
        </w:tc>
        <w:tc>
          <w:tcPr>
            <w:tcW w:type="dxa" w:w="1080"/>
          </w:tcPr>
          <w:p>
            <w:r>
              <w:t>-0.004</w:t>
            </w:r>
          </w:p>
        </w:tc>
        <w:tc>
          <w:tcPr>
            <w:tcW w:type="dxa" w:w="1080"/>
          </w:tcPr>
          <w:p>
            <w:r/>
          </w:p>
        </w:tc>
      </w:tr>
      <w:tr>
        <w:tc>
          <w:tcPr>
            <w:tcW w:type="dxa" w:w="1080"/>
          </w:tcPr>
          <w:p>
            <w:r>
              <w:t>ChapnickM_2025_d1605d</w:t>
            </w:r>
          </w:p>
        </w:tc>
        <w:tc>
          <w:tcPr>
            <w:tcW w:type="dxa" w:w="1080"/>
          </w:tcPr>
          <w:p>
            <w:r>
              <w:t>GrimAge</w:t>
            </w:r>
          </w:p>
        </w:tc>
        <w:tc>
          <w:tcPr>
            <w:tcW w:type="dxa" w:w="1080"/>
          </w:tcPr>
          <w:p>
            <w:r>
              <w:t>mean_difference_years</w:t>
            </w:r>
          </w:p>
        </w:tc>
        <w:tc>
          <w:tcPr>
            <w:tcW w:type="dxa" w:w="1080"/>
          </w:tcPr>
          <w:p>
            <w:r>
              <w:t>-0.85</w:t>
            </w:r>
          </w:p>
        </w:tc>
        <w:tc>
          <w:tcPr>
            <w:tcW w:type="dxa" w:w="1080"/>
          </w:tcPr>
          <w:p>
            <w:r>
              <w:t>0.3622448979591837</w:t>
            </w:r>
          </w:p>
        </w:tc>
        <w:tc>
          <w:tcPr>
            <w:tcW w:type="dxa" w:w="1080"/>
          </w:tcPr>
          <w:p>
            <w:r>
              <w:t>-1.53</w:t>
            </w:r>
          </w:p>
        </w:tc>
        <w:tc>
          <w:tcPr>
            <w:tcW w:type="dxa" w:w="1080"/>
          </w:tcPr>
          <w:p>
            <w:r>
              <w:t>-0.11</w:t>
            </w:r>
          </w:p>
        </w:tc>
        <w:tc>
          <w:tcPr>
            <w:tcW w:type="dxa" w:w="1080"/>
          </w:tcPr>
          <w:p>
            <w:r/>
          </w:p>
        </w:tc>
      </w:tr>
      <w:tr>
        <w:tc>
          <w:tcPr>
            <w:tcW w:type="dxa" w:w="1080"/>
          </w:tcPr>
          <w:p>
            <w:r>
              <w:t>ChapnickM_2025_d1605d</w:t>
            </w:r>
          </w:p>
        </w:tc>
        <w:tc>
          <w:tcPr>
            <w:tcW w:type="dxa" w:w="1080"/>
          </w:tcPr>
          <w:p>
            <w:r>
              <w:t>PhenoAge</w:t>
            </w:r>
          </w:p>
        </w:tc>
        <w:tc>
          <w:tcPr>
            <w:tcW w:type="dxa" w:w="1080"/>
          </w:tcPr>
          <w:p>
            <w:r>
              <w:t>mean_difference_years</w:t>
            </w:r>
          </w:p>
        </w:tc>
        <w:tc>
          <w:tcPr>
            <w:tcW w:type="dxa" w:w="1080"/>
          </w:tcPr>
          <w:p>
            <w:r>
              <w:t>-1.91</w:t>
            </w:r>
          </w:p>
        </w:tc>
        <w:tc>
          <w:tcPr>
            <w:tcW w:type="dxa" w:w="1080"/>
          </w:tcPr>
          <w:p>
            <w:r>
              <w:t>0.7755102040816326</w:t>
            </w:r>
          </w:p>
        </w:tc>
        <w:tc>
          <w:tcPr>
            <w:tcW w:type="dxa" w:w="1080"/>
          </w:tcPr>
          <w:p>
            <w:r>
              <w:t>-3.43</w:t>
            </w:r>
          </w:p>
        </w:tc>
        <w:tc>
          <w:tcPr>
            <w:tcW w:type="dxa" w:w="1080"/>
          </w:tcPr>
          <w:p>
            <w:r>
              <w:t>-0.39</w:t>
            </w:r>
          </w:p>
        </w:tc>
        <w:tc>
          <w:tcPr>
            <w:tcW w:type="dxa" w:w="1080"/>
          </w:tcPr>
          <w:p>
            <w:r/>
          </w:p>
        </w:tc>
      </w:tr>
      <w:tr>
        <w:tc>
          <w:tcPr>
            <w:tcW w:type="dxa" w:w="1080"/>
          </w:tcPr>
          <w:p>
            <w:r>
              <w:t>CorleyMJ_2025_ad19fa</w:t>
            </w:r>
          </w:p>
        </w:tc>
        <w:tc>
          <w:tcPr>
            <w:tcW w:type="dxa" w:w="1080"/>
          </w:tcPr>
          <w:p>
            <w:r>
              <w:t>DunedinPACE</w:t>
            </w:r>
          </w:p>
        </w:tc>
        <w:tc>
          <w:tcPr>
            <w:tcW w:type="dxa" w:w="1080"/>
          </w:tcPr>
          <w:p>
            <w:r>
              <w:t>mean_difference_pace</w:t>
            </w:r>
          </w:p>
        </w:tc>
        <w:tc>
          <w:tcPr>
            <w:tcW w:type="dxa" w:w="1080"/>
          </w:tcPr>
          <w:p>
            <w:r>
              <w:t>-0.09</w:t>
            </w:r>
          </w:p>
        </w:tc>
        <w:tc>
          <w:tcPr>
            <w:tcW w:type="dxa" w:w="1080"/>
          </w:tcPr>
          <w:p>
            <w:r>
              <w:t>0.0382653061224489</w:t>
            </w:r>
          </w:p>
        </w:tc>
        <w:tc>
          <w:tcPr>
            <w:tcW w:type="dxa" w:w="1080"/>
          </w:tcPr>
          <w:p>
            <w:r>
              <w:t>-0.17</w:t>
            </w:r>
          </w:p>
        </w:tc>
        <w:tc>
          <w:tcPr>
            <w:tcW w:type="dxa" w:w="1080"/>
          </w:tcPr>
          <w:p>
            <w:r>
              <w:t>-0.02</w:t>
            </w:r>
          </w:p>
        </w:tc>
        <w:tc>
          <w:tcPr>
            <w:tcW w:type="dxa" w:w="1080"/>
          </w:tcPr>
          <w:p>
            <w:r>
              <w:t>45.0</w:t>
            </w:r>
          </w:p>
        </w:tc>
      </w:tr>
      <w:tr>
        <w:tc>
          <w:tcPr>
            <w:tcW w:type="dxa" w:w="1080"/>
          </w:tcPr>
          <w:p>
            <w:r>
              <w:t>CorleyMJ_2025_ad19fa</w:t>
            </w:r>
          </w:p>
        </w:tc>
        <w:tc>
          <w:tcPr>
            <w:tcW w:type="dxa" w:w="1080"/>
          </w:tcPr>
          <w:p>
            <w:r>
              <w:t>GrimAge</w:t>
            </w:r>
          </w:p>
        </w:tc>
        <w:tc>
          <w:tcPr>
            <w:tcW w:type="dxa" w:w="1080"/>
          </w:tcPr>
          <w:p>
            <w:r>
              <w:t>mean_difference_years</w:t>
            </w:r>
          </w:p>
        </w:tc>
        <w:tc>
          <w:tcPr>
            <w:tcW w:type="dxa" w:w="1080"/>
          </w:tcPr>
          <w:p>
            <w:r>
              <w:t>-1.39</w:t>
            </w:r>
          </w:p>
        </w:tc>
        <w:tc>
          <w:tcPr>
            <w:tcW w:type="dxa" w:w="1080"/>
          </w:tcPr>
          <w:p>
            <w:r>
              <w:t>0.681122448979592</w:t>
            </w:r>
          </w:p>
        </w:tc>
        <w:tc>
          <w:tcPr>
            <w:tcW w:type="dxa" w:w="1080"/>
          </w:tcPr>
          <w:p>
            <w:r>
              <w:t>-2.72</w:t>
            </w:r>
          </w:p>
        </w:tc>
        <w:tc>
          <w:tcPr>
            <w:tcW w:type="dxa" w:w="1080"/>
          </w:tcPr>
          <w:p>
            <w:r>
              <w:t>-0.05</w:t>
            </w:r>
          </w:p>
        </w:tc>
        <w:tc>
          <w:tcPr>
            <w:tcW w:type="dxa" w:w="1080"/>
          </w:tcPr>
          <w:p>
            <w:r>
              <w:t>45.0</w:t>
            </w:r>
          </w:p>
        </w:tc>
      </w:tr>
      <w:tr>
        <w:tc>
          <w:tcPr>
            <w:tcW w:type="dxa" w:w="1080"/>
          </w:tcPr>
          <w:p>
            <w:r>
              <w:t>CorleyMJ_2025_ad19fa</w:t>
            </w:r>
          </w:p>
        </w:tc>
        <w:tc>
          <w:tcPr>
            <w:tcW w:type="dxa" w:w="1080"/>
          </w:tcPr>
          <w:p>
            <w:r>
              <w:t>GrimAge2</w:t>
            </w:r>
          </w:p>
        </w:tc>
        <w:tc>
          <w:tcPr>
            <w:tcW w:type="dxa" w:w="1080"/>
          </w:tcPr>
          <w:p>
            <w:r>
              <w:t>mean_difference_years</w:t>
            </w:r>
          </w:p>
        </w:tc>
        <w:tc>
          <w:tcPr>
            <w:tcW w:type="dxa" w:w="1080"/>
          </w:tcPr>
          <w:p>
            <w:r>
              <w:t>-2.26</w:t>
            </w:r>
          </w:p>
        </w:tc>
        <w:tc>
          <w:tcPr>
            <w:tcW w:type="dxa" w:w="1080"/>
          </w:tcPr>
          <w:p>
            <w:r>
              <w:t>0.854591836734694</w:t>
            </w:r>
          </w:p>
        </w:tc>
        <w:tc>
          <w:tcPr>
            <w:tcW w:type="dxa" w:w="1080"/>
          </w:tcPr>
          <w:p>
            <w:r>
              <w:t>-3.94</w:t>
            </w:r>
          </w:p>
        </w:tc>
        <w:tc>
          <w:tcPr>
            <w:tcW w:type="dxa" w:w="1080"/>
          </w:tcPr>
          <w:p>
            <w:r>
              <w:t>-0.59</w:t>
            </w:r>
          </w:p>
        </w:tc>
        <w:tc>
          <w:tcPr>
            <w:tcW w:type="dxa" w:w="1080"/>
          </w:tcPr>
          <w:p>
            <w:r>
              <w:t>45.0</w:t>
            </w:r>
          </w:p>
        </w:tc>
      </w:tr>
      <w:tr>
        <w:tc>
          <w:tcPr>
            <w:tcW w:type="dxa" w:w="1080"/>
          </w:tcPr>
          <w:p>
            <w:r>
              <w:t>CorleyMJ_2025_ad19fa</w:t>
            </w:r>
          </w:p>
        </w:tc>
        <w:tc>
          <w:tcPr>
            <w:tcW w:type="dxa" w:w="1080"/>
          </w:tcPr>
          <w:p>
            <w:r>
              <w:t>PCClock</w:t>
            </w:r>
          </w:p>
        </w:tc>
        <w:tc>
          <w:tcPr>
            <w:tcW w:type="dxa" w:w="1080"/>
          </w:tcPr>
          <w:p>
            <w:r>
              <w:t>mean_difference_years</w:t>
            </w:r>
          </w:p>
        </w:tc>
        <w:tc>
          <w:tcPr>
            <w:tcW w:type="dxa" w:w="1080"/>
          </w:tcPr>
          <w:p>
            <w:r>
              <w:t>-3.08</w:t>
            </w:r>
          </w:p>
        </w:tc>
        <w:tc>
          <w:tcPr>
            <w:tcW w:type="dxa" w:w="1080"/>
          </w:tcPr>
          <w:p>
            <w:r>
              <w:t>1.1301020408163265</w:t>
            </w:r>
          </w:p>
        </w:tc>
        <w:tc>
          <w:tcPr>
            <w:tcW w:type="dxa" w:w="1080"/>
          </w:tcPr>
          <w:p>
            <w:r>
              <w:t>-5.29</w:t>
            </w:r>
          </w:p>
        </w:tc>
        <w:tc>
          <w:tcPr>
            <w:tcW w:type="dxa" w:w="1080"/>
          </w:tcPr>
          <w:p>
            <w:r>
              <w:t>-0.86</w:t>
            </w:r>
          </w:p>
        </w:tc>
        <w:tc>
          <w:tcPr>
            <w:tcW w:type="dxa" w:w="1080"/>
          </w:tcPr>
          <w:p>
            <w:r>
              <w:t>45.0</w:t>
            </w:r>
          </w:p>
        </w:tc>
      </w:tr>
      <w:tr>
        <w:tc>
          <w:tcPr>
            <w:tcW w:type="dxa" w:w="1080"/>
          </w:tcPr>
          <w:p>
            <w:r>
              <w:t>MerrillSM_2024_5ee99d</w:t>
            </w:r>
          </w:p>
        </w:tc>
        <w:tc>
          <w:tcPr>
            <w:tcW w:type="dxa" w:w="1080"/>
          </w:tcPr>
          <w:p>
            <w:r>
              <w:t>DunedinPACE</w:t>
            </w:r>
          </w:p>
        </w:tc>
        <w:tc>
          <w:tcPr>
            <w:tcW w:type="dxa" w:w="1080"/>
          </w:tcPr>
          <w:p>
            <w:r>
              <w:t>mean_difference_pace</w:t>
            </w:r>
          </w:p>
        </w:tc>
        <w:tc>
          <w:tcPr>
            <w:tcW w:type="dxa" w:w="1080"/>
          </w:tcPr>
          <w:p>
            <w:r>
              <w:t>0.29</w:t>
            </w:r>
          </w:p>
        </w:tc>
        <w:tc>
          <w:tcPr>
            <w:tcW w:type="dxa" w:w="1080"/>
          </w:tcPr>
          <w:p>
            <w:r>
              <w:t>0.1198979591836734</w:t>
            </w:r>
          </w:p>
        </w:tc>
        <w:tc>
          <w:tcPr>
            <w:tcW w:type="dxa" w:w="1080"/>
          </w:tcPr>
          <w:p>
            <w:r>
              <w:t>0.05</w:t>
            </w:r>
          </w:p>
        </w:tc>
        <w:tc>
          <w:tcPr>
            <w:tcW w:type="dxa" w:w="1080"/>
          </w:tcPr>
          <w:p>
            <w:r>
              <w:t>0.52</w:t>
            </w:r>
          </w:p>
        </w:tc>
        <w:tc>
          <w:tcPr>
            <w:tcW w:type="dxa" w:w="1080"/>
          </w:tcPr>
          <w:p>
            <w:r/>
          </w:p>
        </w:tc>
      </w:tr>
      <w:tr>
        <w:tc>
          <w:tcPr>
            <w:tcW w:type="dxa" w:w="1080"/>
          </w:tcPr>
          <w:p>
            <w:r>
              <w:t>WaziryR_2023_29b3ce</w:t>
            </w:r>
          </w:p>
        </w:tc>
        <w:tc>
          <w:tcPr>
            <w:tcW w:type="dxa" w:w="1080"/>
          </w:tcPr>
          <w:p>
            <w:r>
              <w:t>DunedinPACE</w:t>
            </w:r>
          </w:p>
        </w:tc>
        <w:tc>
          <w:tcPr>
            <w:tcW w:type="dxa" w:w="1080"/>
          </w:tcPr>
          <w:p>
            <w:r>
              <w:t>cohens_d_post_12mo</w:t>
            </w:r>
          </w:p>
        </w:tc>
        <w:tc>
          <w:tcPr>
            <w:tcW w:type="dxa" w:w="1080"/>
          </w:tcPr>
          <w:p>
            <w:r>
              <w:t>-0.29</w:t>
            </w:r>
          </w:p>
        </w:tc>
        <w:tc>
          <w:tcPr>
            <w:tcW w:type="dxa" w:w="1080"/>
          </w:tcPr>
          <w:p>
            <w:r>
              <w:t>0.0816326530612245</w:t>
            </w:r>
          </w:p>
        </w:tc>
        <w:tc>
          <w:tcPr>
            <w:tcW w:type="dxa" w:w="1080"/>
          </w:tcPr>
          <w:p>
            <w:r>
              <w:t>-0.45</w:t>
            </w:r>
          </w:p>
        </w:tc>
        <w:tc>
          <w:tcPr>
            <w:tcW w:type="dxa" w:w="1080"/>
          </w:tcPr>
          <w:p>
            <w:r>
              <w:t>-0.13</w:t>
            </w:r>
          </w:p>
        </w:tc>
        <w:tc>
          <w:tcPr>
            <w:tcW w:type="dxa" w:w="1080"/>
          </w:tcPr>
          <w:p>
            <w:r>
              <w:t>128.0</w:t>
            </w:r>
          </w:p>
        </w:tc>
      </w:tr>
      <w:tr>
        <w:tc>
          <w:tcPr>
            <w:tcW w:type="dxa" w:w="1080"/>
          </w:tcPr>
          <w:p>
            <w:r>
              <w:t>WaziryR_2023_29b3ce</w:t>
            </w:r>
          </w:p>
        </w:tc>
        <w:tc>
          <w:tcPr>
            <w:tcW w:type="dxa" w:w="1080"/>
          </w:tcPr>
          <w:p>
            <w:r>
              <w:t>GrimAge</w:t>
            </w:r>
          </w:p>
        </w:tc>
        <w:tc>
          <w:tcPr>
            <w:tcW w:type="dxa" w:w="1080"/>
          </w:tcPr>
          <w:p>
            <w:r>
              <w:t>cohens_d_post_12mo</w:t>
            </w:r>
          </w:p>
        </w:tc>
        <w:tc>
          <w:tcPr>
            <w:tcW w:type="dxa" w:w="1080"/>
          </w:tcPr>
          <w:p>
            <w:r>
              <w:t>-0.04</w:t>
            </w:r>
          </w:p>
        </w:tc>
        <w:tc>
          <w:tcPr>
            <w:tcW w:type="dxa" w:w="1080"/>
          </w:tcPr>
          <w:p>
            <w:r>
              <w:t>0.0586734693877551</w:t>
            </w:r>
          </w:p>
        </w:tc>
        <w:tc>
          <w:tcPr>
            <w:tcW w:type="dxa" w:w="1080"/>
          </w:tcPr>
          <w:p>
            <w:r>
              <w:t>-0.16</w:t>
            </w:r>
          </w:p>
        </w:tc>
        <w:tc>
          <w:tcPr>
            <w:tcW w:type="dxa" w:w="1080"/>
          </w:tcPr>
          <w:p>
            <w:r>
              <w:t>0.07</w:t>
            </w:r>
          </w:p>
        </w:tc>
        <w:tc>
          <w:tcPr>
            <w:tcW w:type="dxa" w:w="1080"/>
          </w:tcPr>
          <w:p>
            <w:r>
              <w:t>128.0</w:t>
            </w:r>
          </w:p>
        </w:tc>
      </w:tr>
      <w:tr>
        <w:tc>
          <w:tcPr>
            <w:tcW w:type="dxa" w:w="1080"/>
          </w:tcPr>
          <w:p>
            <w:r>
              <w:t>WaziryR_2023_29b3ce</w:t>
            </w:r>
          </w:p>
        </w:tc>
        <w:tc>
          <w:tcPr>
            <w:tcW w:type="dxa" w:w="1080"/>
          </w:tcPr>
          <w:p>
            <w:r>
              <w:t>PhenoAge</w:t>
            </w:r>
          </w:p>
        </w:tc>
        <w:tc>
          <w:tcPr>
            <w:tcW w:type="dxa" w:w="1080"/>
          </w:tcPr>
          <w:p>
            <w:r>
              <w:t>cohens_d_post_12mo</w:t>
            </w:r>
          </w:p>
        </w:tc>
        <w:tc>
          <w:tcPr>
            <w:tcW w:type="dxa" w:w="1080"/>
          </w:tcPr>
          <w:p>
            <w:r>
              <w:t>-0.03</w:t>
            </w:r>
          </w:p>
        </w:tc>
        <w:tc>
          <w:tcPr>
            <w:tcW w:type="dxa" w:w="1080"/>
          </w:tcPr>
          <w:p>
            <w:r>
              <w:t>0.0790816326530612</w:t>
            </w:r>
          </w:p>
        </w:tc>
        <w:tc>
          <w:tcPr>
            <w:tcW w:type="dxa" w:w="1080"/>
          </w:tcPr>
          <w:p>
            <w:r>
              <w:t>-0.19</w:t>
            </w:r>
          </w:p>
        </w:tc>
        <w:tc>
          <w:tcPr>
            <w:tcW w:type="dxa" w:w="1080"/>
          </w:tcPr>
          <w:p>
            <w:r>
              <w:t>0.12</w:t>
            </w:r>
          </w:p>
        </w:tc>
        <w:tc>
          <w:tcPr>
            <w:tcW w:type="dxa" w:w="1080"/>
          </w:tcPr>
          <w:p>
            <w:r>
              <w:t>128.0</w:t>
            </w:r>
          </w:p>
        </w:tc>
      </w:tr>
      <w:tr>
        <w:tc>
          <w:tcPr>
            <w:tcW w:type="dxa" w:w="1080"/>
          </w:tcPr>
          <w:p>
            <w:r>
              <w:t>YaskolkaMeirA_2023_ba151d</w:t>
            </w:r>
          </w:p>
        </w:tc>
        <w:tc>
          <w:tcPr>
            <w:tcW w:type="dxa" w:w="1080"/>
          </w:tcPr>
          <w:p>
            <w:r>
              <w:t>Hannum</w:t>
            </w:r>
          </w:p>
        </w:tc>
        <w:tc>
          <w:tcPr>
            <w:tcW w:type="dxa" w:w="1080"/>
          </w:tcPr>
          <w:p>
            <w:r>
              <w:t>mean_difference_years</w:t>
            </w:r>
          </w:p>
        </w:tc>
        <w:tc>
          <w:tcPr>
            <w:tcW w:type="dxa" w:w="1080"/>
          </w:tcPr>
          <w:p>
            <w:r>
              <w:t>-0.38</w:t>
            </w:r>
          </w:p>
        </w:tc>
        <w:tc>
          <w:tcPr>
            <w:tcW w:type="dxa" w:w="1080"/>
          </w:tcPr>
          <w:p>
            <w:r/>
          </w:p>
        </w:tc>
        <w:tc>
          <w:tcPr>
            <w:tcW w:type="dxa" w:w="1080"/>
          </w:tcPr>
          <w:p>
            <w:r/>
          </w:p>
        </w:tc>
        <w:tc>
          <w:tcPr>
            <w:tcW w:type="dxa" w:w="1080"/>
          </w:tcPr>
          <w:p>
            <w:r/>
          </w:p>
        </w:tc>
        <w:tc>
          <w:tcPr>
            <w:tcW w:type="dxa" w:w="1080"/>
          </w:tcPr>
          <w:p>
            <w:r/>
          </w:p>
        </w:tc>
      </w:tr>
    </w:tbl>
    <w:p>
      <w:pPr>
        <w:pStyle w:val="Heading1"/>
      </w:pPr>
      <w:r>
        <w:t>S3. RoB 2 worksheet (all pending dual coding)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study_id</w:t>
            </w:r>
          </w:p>
        </w:tc>
        <w:tc>
          <w:tcPr>
            <w:tcW w:type="dxa" w:w="1080"/>
          </w:tcPr>
          <w:p>
            <w:r>
              <w:t>first_author</w:t>
            </w:r>
          </w:p>
        </w:tc>
        <w:tc>
          <w:tcPr>
            <w:tcW w:type="dxa" w:w="1080"/>
          </w:tcPr>
          <w:p>
            <w:r>
              <w:t>year</w:t>
            </w:r>
          </w:p>
        </w:tc>
        <w:tc>
          <w:tcPr>
            <w:tcW w:type="dxa" w:w="1080"/>
          </w:tcPr>
          <w:p>
            <w:r>
              <w:t>doi</w:t>
            </w:r>
          </w:p>
        </w:tc>
        <w:tc>
          <w:tcPr>
            <w:tcW w:type="dxa" w:w="1080"/>
          </w:tcPr>
          <w:p>
            <w:r>
              <w:t>pmid</w:t>
            </w:r>
          </w:p>
        </w:tc>
        <w:tc>
          <w:tcPr>
            <w:tcW w:type="dxa" w:w="1080"/>
          </w:tcPr>
          <w:p>
            <w:r>
              <w:t>d1_randomization</w:t>
            </w:r>
          </w:p>
        </w:tc>
        <w:tc>
          <w:tcPr>
            <w:tcW w:type="dxa" w:w="1080"/>
          </w:tcPr>
          <w:p>
            <w:r>
              <w:t>d1_quote</w:t>
            </w:r>
          </w:p>
        </w:tc>
        <w:tc>
          <w:tcPr>
            <w:tcW w:type="dxa" w:w="1080"/>
          </w:tcPr>
          <w:p>
            <w:r>
              <w:t>d2_deviations</w:t>
            </w:r>
          </w:p>
        </w:tc>
      </w:tr>
      <w:tr>
        <w:tc>
          <w:tcPr>
            <w:tcW w:type="dxa" w:w="1080"/>
          </w:tcPr>
          <w:p>
            <w:r>
              <w:t>OlasoGonzalezG_2026_88c470</w:t>
            </w:r>
          </w:p>
        </w:tc>
        <w:tc>
          <w:tcPr>
            <w:tcW w:type="dxa" w:w="1080"/>
          </w:tcPr>
          <w:p>
            <w:r>
              <w:t>Olaso-Gonzalez G</w:t>
            </w:r>
          </w:p>
        </w:tc>
        <w:tc>
          <w:tcPr>
            <w:tcW w:type="dxa" w:w="1080"/>
          </w:tcPr>
          <w:p>
            <w:r>
              <w:t>2026</w:t>
            </w:r>
          </w:p>
        </w:tc>
        <w:tc>
          <w:tcPr>
            <w:tcW w:type="dxa" w:w="1080"/>
          </w:tcPr>
          <w:p>
            <w:r>
              <w:t>10.1111/acel.70376</w:t>
            </w:r>
          </w:p>
        </w:tc>
        <w:tc>
          <w:tcPr>
            <w:tcW w:type="dxa" w:w="1080"/>
          </w:tcPr>
          <w:p>
            <w:r>
              <w:t>41677077.0</w:t>
            </w:r>
          </w:p>
        </w:tc>
        <w:tc>
          <w:tcPr>
            <w:tcW w:type="dxa" w:w="1080"/>
          </w:tcPr>
          <w:p>
            <w:r>
              <w:t>pending</w:t>
            </w:r>
          </w:p>
        </w:tc>
        <w:tc>
          <w:tcPr>
            <w:tcW w:type="dxa" w:w="1080"/>
          </w:tcPr>
          <w:p>
            <w:r/>
          </w:p>
        </w:tc>
        <w:tc>
          <w:tcPr>
            <w:tcW w:type="dxa" w:w="1080"/>
          </w:tcPr>
          <w:p>
            <w:r>
              <w:t>pending</w:t>
            </w:r>
          </w:p>
        </w:tc>
      </w:tr>
      <w:tr>
        <w:tc>
          <w:tcPr>
            <w:tcW w:type="dxa" w:w="1080"/>
          </w:tcPr>
          <w:p>
            <w:r>
              <w:t>LinS_2025_c63679</w:t>
            </w:r>
          </w:p>
        </w:tc>
        <w:tc>
          <w:tcPr>
            <w:tcW w:type="dxa" w:w="1080"/>
          </w:tcPr>
          <w:p>
            <w:r>
              <w:t>Lin S</w:t>
            </w:r>
          </w:p>
        </w:tc>
        <w:tc>
          <w:tcPr>
            <w:tcW w:type="dxa" w:w="1080"/>
          </w:tcPr>
          <w:p>
            <w:r>
              <w:t>2025</w:t>
            </w:r>
          </w:p>
        </w:tc>
        <w:tc>
          <w:tcPr>
            <w:tcW w:type="dxa" w:w="1080"/>
          </w:tcPr>
          <w:p>
            <w:r>
              <w:t>10.1080/07853890.2025.2496409</w:t>
            </w:r>
          </w:p>
        </w:tc>
        <w:tc>
          <w:tcPr>
            <w:tcW w:type="dxa" w:w="1080"/>
          </w:tcPr>
          <w:p>
            <w:r>
              <w:t>40297922.0</w:t>
            </w:r>
          </w:p>
        </w:tc>
        <w:tc>
          <w:tcPr>
            <w:tcW w:type="dxa" w:w="1080"/>
          </w:tcPr>
          <w:p>
            <w:r>
              <w:t>pending</w:t>
            </w:r>
          </w:p>
        </w:tc>
        <w:tc>
          <w:tcPr>
            <w:tcW w:type="dxa" w:w="1080"/>
          </w:tcPr>
          <w:p>
            <w:r/>
          </w:p>
        </w:tc>
        <w:tc>
          <w:tcPr>
            <w:tcW w:type="dxa" w:w="1080"/>
          </w:tcPr>
          <w:p>
            <w:r>
              <w:t>pending</w:t>
            </w:r>
          </w:p>
        </w:tc>
      </w:tr>
      <w:tr>
        <w:tc>
          <w:tcPr>
            <w:tcW w:type="dxa" w:w="1080"/>
          </w:tcPr>
          <w:p>
            <w:r>
              <w:t>ChapnickM_2025_d1605d</w:t>
            </w:r>
          </w:p>
        </w:tc>
        <w:tc>
          <w:tcPr>
            <w:tcW w:type="dxa" w:w="1080"/>
          </w:tcPr>
          <w:p>
            <w:r>
              <w:t>Chapnick M</w:t>
            </w:r>
          </w:p>
        </w:tc>
        <w:tc>
          <w:tcPr>
            <w:tcW w:type="dxa" w:w="1080"/>
          </w:tcPr>
          <w:p>
            <w:r>
              <w:t>2025</w:t>
            </w:r>
          </w:p>
        </w:tc>
        <w:tc>
          <w:tcPr>
            <w:tcW w:type="dxa" w:w="1080"/>
          </w:tcPr>
          <w:p>
            <w:r>
              <w:t>10.1101/2025.09.25.678652</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StanfieldB_2026_967335</w:t>
            </w:r>
          </w:p>
        </w:tc>
        <w:tc>
          <w:tcPr>
            <w:tcW w:type="dxa" w:w="1080"/>
          </w:tcPr>
          <w:p>
            <w:r>
              <w:t>Stanfield B</w:t>
            </w:r>
          </w:p>
        </w:tc>
        <w:tc>
          <w:tcPr>
            <w:tcW w:type="dxa" w:w="1080"/>
          </w:tcPr>
          <w:p>
            <w:r>
              <w:t>2026</w:t>
            </w:r>
          </w:p>
        </w:tc>
        <w:tc>
          <w:tcPr>
            <w:tcW w:type="dxa" w:w="1080"/>
          </w:tcPr>
          <w:p>
            <w:r>
              <w:t>10.1002/jcsm.70274</w:t>
            </w:r>
          </w:p>
        </w:tc>
        <w:tc>
          <w:tcPr>
            <w:tcW w:type="dxa" w:w="1080"/>
          </w:tcPr>
          <w:p>
            <w:r>
              <w:t>41985884.0</w:t>
            </w:r>
          </w:p>
        </w:tc>
        <w:tc>
          <w:tcPr>
            <w:tcW w:type="dxa" w:w="1080"/>
          </w:tcPr>
          <w:p>
            <w:r>
              <w:t>pending</w:t>
            </w:r>
          </w:p>
        </w:tc>
        <w:tc>
          <w:tcPr>
            <w:tcW w:type="dxa" w:w="1080"/>
          </w:tcPr>
          <w:p>
            <w:r/>
          </w:p>
        </w:tc>
        <w:tc>
          <w:tcPr>
            <w:tcW w:type="dxa" w:w="1080"/>
          </w:tcPr>
          <w:p>
            <w:r>
              <w:t>pending</w:t>
            </w:r>
          </w:p>
        </w:tc>
      </w:tr>
      <w:tr>
        <w:tc>
          <w:tcPr>
            <w:tcW w:type="dxa" w:w="1080"/>
          </w:tcPr>
          <w:p>
            <w:r>
              <w:t>BozackAK_2025_7aa71b</w:t>
            </w:r>
          </w:p>
        </w:tc>
        <w:tc>
          <w:tcPr>
            <w:tcW w:type="dxa" w:w="1080"/>
          </w:tcPr>
          <w:p>
            <w:r>
              <w:t>Bozack AK</w:t>
            </w:r>
          </w:p>
        </w:tc>
        <w:tc>
          <w:tcPr>
            <w:tcW w:type="dxa" w:w="1080"/>
          </w:tcPr>
          <w:p>
            <w:r>
              <w:t>2025</w:t>
            </w:r>
          </w:p>
        </w:tc>
        <w:tc>
          <w:tcPr>
            <w:tcW w:type="dxa" w:w="1080"/>
          </w:tcPr>
          <w:p>
            <w:r>
              <w:t>10.1038/s41514-025-00298-x</w:t>
            </w:r>
          </w:p>
        </w:tc>
        <w:tc>
          <w:tcPr>
            <w:tcW w:type="dxa" w:w="1080"/>
          </w:tcPr>
          <w:p>
            <w:r>
              <w:t>41354984.0</w:t>
            </w:r>
          </w:p>
        </w:tc>
        <w:tc>
          <w:tcPr>
            <w:tcW w:type="dxa" w:w="1080"/>
          </w:tcPr>
          <w:p>
            <w:r>
              <w:t>pending</w:t>
            </w:r>
          </w:p>
        </w:tc>
        <w:tc>
          <w:tcPr>
            <w:tcW w:type="dxa" w:w="1080"/>
          </w:tcPr>
          <w:p>
            <w:r/>
          </w:p>
        </w:tc>
        <w:tc>
          <w:tcPr>
            <w:tcW w:type="dxa" w:w="1080"/>
          </w:tcPr>
          <w:p>
            <w:r>
              <w:t>pending</w:t>
            </w:r>
          </w:p>
        </w:tc>
      </w:tr>
      <w:tr>
        <w:tc>
          <w:tcPr>
            <w:tcW w:type="dxa" w:w="1080"/>
          </w:tcPr>
          <w:p>
            <w:r>
              <w:t>RobinsonLA_2026_d1a7b4</w:t>
            </w:r>
          </w:p>
        </w:tc>
        <w:tc>
          <w:tcPr>
            <w:tcW w:type="dxa" w:w="1080"/>
          </w:tcPr>
          <w:p>
            <w:r>
              <w:t>Robinson LA</w:t>
            </w:r>
          </w:p>
        </w:tc>
        <w:tc>
          <w:tcPr>
            <w:tcW w:type="dxa" w:w="1080"/>
          </w:tcPr>
          <w:p>
            <w:r>
              <w:t>2026</w:t>
            </w:r>
          </w:p>
        </w:tc>
        <w:tc>
          <w:tcPr>
            <w:tcW w:type="dxa" w:w="1080"/>
          </w:tcPr>
          <w:p>
            <w:r>
              <w:t>10.3389/fnut.2026.1750030</w:t>
            </w:r>
          </w:p>
        </w:tc>
        <w:tc>
          <w:tcPr>
            <w:tcW w:type="dxa" w:w="1080"/>
          </w:tcPr>
          <w:p>
            <w:r>
              <w:t>41717034.0</w:t>
            </w:r>
          </w:p>
        </w:tc>
        <w:tc>
          <w:tcPr>
            <w:tcW w:type="dxa" w:w="1080"/>
          </w:tcPr>
          <w:p>
            <w:r>
              <w:t>pending</w:t>
            </w:r>
          </w:p>
        </w:tc>
        <w:tc>
          <w:tcPr>
            <w:tcW w:type="dxa" w:w="1080"/>
          </w:tcPr>
          <w:p>
            <w:r/>
          </w:p>
        </w:tc>
        <w:tc>
          <w:tcPr>
            <w:tcW w:type="dxa" w:w="1080"/>
          </w:tcPr>
          <w:p>
            <w:r>
              <w:t>pending</w:t>
            </w:r>
          </w:p>
        </w:tc>
      </w:tr>
      <w:tr>
        <w:tc>
          <w:tcPr>
            <w:tcW w:type="dxa" w:w="1080"/>
          </w:tcPr>
          <w:p>
            <w:r>
              <w:t>NwanajiEnweremJC_2024_cd243f</w:t>
            </w:r>
          </w:p>
        </w:tc>
        <w:tc>
          <w:tcPr>
            <w:tcW w:type="dxa" w:w="1080"/>
          </w:tcPr>
          <w:p>
            <w:r>
              <w:t>Nwanaji-Enwerem JC</w:t>
            </w:r>
          </w:p>
        </w:tc>
        <w:tc>
          <w:tcPr>
            <w:tcW w:type="dxa" w:w="1080"/>
          </w:tcPr>
          <w:p>
            <w:r>
              <w:t>2024</w:t>
            </w:r>
          </w:p>
        </w:tc>
        <w:tc>
          <w:tcPr>
            <w:tcW w:type="dxa" w:w="1080"/>
          </w:tcPr>
          <w:p>
            <w:r>
              <w:t>10.1093/eep/dvae017</w:t>
            </w:r>
          </w:p>
        </w:tc>
        <w:tc>
          <w:tcPr>
            <w:tcW w:type="dxa" w:w="1080"/>
          </w:tcPr>
          <w:p>
            <w:r>
              <w:t>39416749.0</w:t>
            </w:r>
          </w:p>
        </w:tc>
        <w:tc>
          <w:tcPr>
            <w:tcW w:type="dxa" w:w="1080"/>
          </w:tcPr>
          <w:p>
            <w:r>
              <w:t>pending</w:t>
            </w:r>
          </w:p>
        </w:tc>
        <w:tc>
          <w:tcPr>
            <w:tcW w:type="dxa" w:w="1080"/>
          </w:tcPr>
          <w:p>
            <w:r/>
          </w:p>
        </w:tc>
        <w:tc>
          <w:tcPr>
            <w:tcW w:type="dxa" w:w="1080"/>
          </w:tcPr>
          <w:p>
            <w:r>
              <w:t>pending</w:t>
            </w:r>
          </w:p>
        </w:tc>
      </w:tr>
      <w:tr>
        <w:tc>
          <w:tcPr>
            <w:tcW w:type="dxa" w:w="1080"/>
          </w:tcPr>
          <w:p>
            <w:r>
              <w:t>CorleyMJ_2025_ad19fa</w:t>
            </w:r>
          </w:p>
        </w:tc>
        <w:tc>
          <w:tcPr>
            <w:tcW w:type="dxa" w:w="1080"/>
          </w:tcPr>
          <w:p>
            <w:r>
              <w:t>Corley MJ</w:t>
            </w:r>
          </w:p>
        </w:tc>
        <w:tc>
          <w:tcPr>
            <w:tcW w:type="dxa" w:w="1080"/>
          </w:tcPr>
          <w:p>
            <w:r>
              <w:t>2025</w:t>
            </w:r>
          </w:p>
        </w:tc>
        <w:tc>
          <w:tcPr>
            <w:tcW w:type="dxa" w:w="1080"/>
          </w:tcPr>
          <w:p>
            <w:r>
              <w:t>10.1101/2025.07.09.25331038</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RslerW_2026_9ed59d</w:t>
            </w:r>
          </w:p>
        </w:tc>
        <w:tc>
          <w:tcPr>
            <w:tcW w:type="dxa" w:w="1080"/>
          </w:tcPr>
          <w:p>
            <w:r>
              <w:t>Rösler W</w:t>
            </w:r>
          </w:p>
        </w:tc>
        <w:tc>
          <w:tcPr>
            <w:tcW w:type="dxa" w:w="1080"/>
          </w:tcPr>
          <w:p>
            <w:r>
              <w:t>2026</w:t>
            </w:r>
          </w:p>
        </w:tc>
        <w:tc>
          <w:tcPr>
            <w:tcW w:type="dxa" w:w="1080"/>
          </w:tcPr>
          <w:p>
            <w:r>
              <w:t>10.1038/s41514-026-00360-2</w:t>
            </w:r>
          </w:p>
        </w:tc>
        <w:tc>
          <w:tcPr>
            <w:tcW w:type="dxa" w:w="1080"/>
          </w:tcPr>
          <w:p>
            <w:r>
              <w:t>41872206.0</w:t>
            </w:r>
          </w:p>
        </w:tc>
        <w:tc>
          <w:tcPr>
            <w:tcW w:type="dxa" w:w="1080"/>
          </w:tcPr>
          <w:p>
            <w:r>
              <w:t>pending</w:t>
            </w:r>
          </w:p>
        </w:tc>
        <w:tc>
          <w:tcPr>
            <w:tcW w:type="dxa" w:w="1080"/>
          </w:tcPr>
          <w:p>
            <w:r/>
          </w:p>
        </w:tc>
        <w:tc>
          <w:tcPr>
            <w:tcW w:type="dxa" w:w="1080"/>
          </w:tcPr>
          <w:p>
            <w:r>
              <w:t>pending</w:t>
            </w:r>
          </w:p>
        </w:tc>
      </w:tr>
      <w:tr>
        <w:tc>
          <w:tcPr>
            <w:tcW w:type="dxa" w:w="1080"/>
          </w:tcPr>
          <w:p>
            <w:r>
              <w:t>BozackAK_2025_90311c</w:t>
            </w:r>
          </w:p>
        </w:tc>
        <w:tc>
          <w:tcPr>
            <w:tcW w:type="dxa" w:w="1080"/>
          </w:tcPr>
          <w:p>
            <w:r>
              <w:t>Bozack AK</w:t>
            </w:r>
          </w:p>
        </w:tc>
        <w:tc>
          <w:tcPr>
            <w:tcW w:type="dxa" w:w="1080"/>
          </w:tcPr>
          <w:p>
            <w:r>
              <w:t>2025</w:t>
            </w:r>
          </w:p>
        </w:tc>
        <w:tc>
          <w:tcPr>
            <w:tcW w:type="dxa" w:w="1080"/>
          </w:tcPr>
          <w:p>
            <w:r>
              <w:t>10.1016/j.ajcnut.2025.05.029</w:t>
            </w:r>
          </w:p>
        </w:tc>
        <w:tc>
          <w:tcPr>
            <w:tcW w:type="dxa" w:w="1080"/>
          </w:tcPr>
          <w:p>
            <w:r>
              <w:t>40456316.0</w:t>
            </w:r>
          </w:p>
        </w:tc>
        <w:tc>
          <w:tcPr>
            <w:tcW w:type="dxa" w:w="1080"/>
          </w:tcPr>
          <w:p>
            <w:r>
              <w:t>pending</w:t>
            </w:r>
          </w:p>
        </w:tc>
        <w:tc>
          <w:tcPr>
            <w:tcW w:type="dxa" w:w="1080"/>
          </w:tcPr>
          <w:p>
            <w:r/>
          </w:p>
        </w:tc>
        <w:tc>
          <w:tcPr>
            <w:tcW w:type="dxa" w:w="1080"/>
          </w:tcPr>
          <w:p>
            <w:r>
              <w:t>pending</w:t>
            </w:r>
          </w:p>
        </w:tc>
      </w:tr>
      <w:tr>
        <w:tc>
          <w:tcPr>
            <w:tcW w:type="dxa" w:w="1080"/>
          </w:tcPr>
          <w:p>
            <w:r>
              <w:t>WaziryR_2023_29b3ce</w:t>
            </w:r>
          </w:p>
        </w:tc>
        <w:tc>
          <w:tcPr>
            <w:tcW w:type="dxa" w:w="1080"/>
          </w:tcPr>
          <w:p>
            <w:r>
              <w:t>Waziry R</w:t>
            </w:r>
          </w:p>
        </w:tc>
        <w:tc>
          <w:tcPr>
            <w:tcW w:type="dxa" w:w="1080"/>
          </w:tcPr>
          <w:p>
            <w:r>
              <w:t>2023</w:t>
            </w:r>
          </w:p>
        </w:tc>
        <w:tc>
          <w:tcPr>
            <w:tcW w:type="dxa" w:w="1080"/>
          </w:tcPr>
          <w:p>
            <w:r>
              <w:t>10.1038/s43587-022-00357-y</w:t>
            </w:r>
          </w:p>
        </w:tc>
        <w:tc>
          <w:tcPr>
            <w:tcW w:type="dxa" w:w="1080"/>
          </w:tcPr>
          <w:p>
            <w:r>
              <w:t>37118425.0</w:t>
            </w:r>
          </w:p>
        </w:tc>
        <w:tc>
          <w:tcPr>
            <w:tcW w:type="dxa" w:w="1080"/>
          </w:tcPr>
          <w:p>
            <w:r>
              <w:t>pending</w:t>
            </w:r>
          </w:p>
        </w:tc>
        <w:tc>
          <w:tcPr>
            <w:tcW w:type="dxa" w:w="1080"/>
          </w:tcPr>
          <w:p>
            <w:r/>
          </w:p>
        </w:tc>
        <w:tc>
          <w:tcPr>
            <w:tcW w:type="dxa" w:w="1080"/>
          </w:tcPr>
          <w:p>
            <w:r>
              <w:t>pending</w:t>
            </w:r>
          </w:p>
        </w:tc>
      </w:tr>
      <w:tr>
        <w:tc>
          <w:tcPr>
            <w:tcW w:type="dxa" w:w="1080"/>
          </w:tcPr>
          <w:p>
            <w:r>
              <w:t>BozackA_2025_e4438c</w:t>
            </w:r>
          </w:p>
        </w:tc>
        <w:tc>
          <w:tcPr>
            <w:tcW w:type="dxa" w:w="1080"/>
          </w:tcPr>
          <w:p>
            <w:r>
              <w:t>Bozack A</w:t>
            </w:r>
          </w:p>
        </w:tc>
        <w:tc>
          <w:tcPr>
            <w:tcW w:type="dxa" w:w="1080"/>
          </w:tcPr>
          <w:p>
            <w:r>
              <w:t>2025</w:t>
            </w:r>
          </w:p>
        </w:tc>
        <w:tc>
          <w:tcPr>
            <w:tcW w:type="dxa" w:w="1080"/>
          </w:tcPr>
          <w:p>
            <w:r>
              <w:t>10.1101/2025.01.06.25320074</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MichelsKB_2024_d5c4df</w:t>
            </w:r>
          </w:p>
        </w:tc>
        <w:tc>
          <w:tcPr>
            <w:tcW w:type="dxa" w:w="1080"/>
          </w:tcPr>
          <w:p>
            <w:r>
              <w:t>Michels KB</w:t>
            </w:r>
          </w:p>
        </w:tc>
        <w:tc>
          <w:tcPr>
            <w:tcW w:type="dxa" w:w="1080"/>
          </w:tcPr>
          <w:p>
            <w:r>
              <w:t>2024</w:t>
            </w:r>
          </w:p>
        </w:tc>
        <w:tc>
          <w:tcPr>
            <w:tcW w:type="dxa" w:w="1080"/>
          </w:tcPr>
          <w:p>
            <w:r>
              <w:t>10.1080/15592294.2023.2293410</w:t>
            </w:r>
          </w:p>
        </w:tc>
        <w:tc>
          <w:tcPr>
            <w:tcW w:type="dxa" w:w="1080"/>
          </w:tcPr>
          <w:p>
            <w:r>
              <w:t>38096372.0</w:t>
            </w:r>
          </w:p>
        </w:tc>
        <w:tc>
          <w:tcPr>
            <w:tcW w:type="dxa" w:w="1080"/>
          </w:tcPr>
          <w:p>
            <w:r>
              <w:t>pending</w:t>
            </w:r>
          </w:p>
        </w:tc>
        <w:tc>
          <w:tcPr>
            <w:tcW w:type="dxa" w:w="1080"/>
          </w:tcPr>
          <w:p>
            <w:r/>
          </w:p>
        </w:tc>
        <w:tc>
          <w:tcPr>
            <w:tcW w:type="dxa" w:w="1080"/>
          </w:tcPr>
          <w:p>
            <w:r>
              <w:t>pending</w:t>
            </w:r>
          </w:p>
        </w:tc>
      </w:tr>
      <w:tr>
        <w:tc>
          <w:tcPr>
            <w:tcW w:type="dxa" w:w="1080"/>
          </w:tcPr>
          <w:p>
            <w:r>
              <w:t>CorleyMJ_2024_9a5fed</w:t>
            </w:r>
          </w:p>
        </w:tc>
        <w:tc>
          <w:tcPr>
            <w:tcW w:type="dxa" w:w="1080"/>
          </w:tcPr>
          <w:p>
            <w:r>
              <w:t>Corley MJ</w:t>
            </w:r>
          </w:p>
        </w:tc>
        <w:tc>
          <w:tcPr>
            <w:tcW w:type="dxa" w:w="1080"/>
          </w:tcPr>
          <w:p>
            <w:r>
              <w:t>2024</w:t>
            </w:r>
          </w:p>
        </w:tc>
        <w:tc>
          <w:tcPr>
            <w:tcW w:type="dxa" w:w="1080"/>
          </w:tcPr>
          <w:p>
            <w:r>
              <w:t>10.1111/acel.13926</w:t>
            </w:r>
          </w:p>
        </w:tc>
        <w:tc>
          <w:tcPr>
            <w:tcW w:type="dxa" w:w="1080"/>
          </w:tcPr>
          <w:p>
            <w:r>
              <w:t>37675817.0</w:t>
            </w:r>
          </w:p>
        </w:tc>
        <w:tc>
          <w:tcPr>
            <w:tcW w:type="dxa" w:w="1080"/>
          </w:tcPr>
          <w:p>
            <w:r>
              <w:t>pending</w:t>
            </w:r>
          </w:p>
        </w:tc>
        <w:tc>
          <w:tcPr>
            <w:tcW w:type="dxa" w:w="1080"/>
          </w:tcPr>
          <w:p>
            <w:r/>
          </w:p>
        </w:tc>
        <w:tc>
          <w:tcPr>
            <w:tcW w:type="dxa" w:w="1080"/>
          </w:tcPr>
          <w:p>
            <w:r>
              <w:t>pending</w:t>
            </w:r>
          </w:p>
        </w:tc>
      </w:tr>
      <w:tr>
        <w:tc>
          <w:tcPr>
            <w:tcW w:type="dxa" w:w="1080"/>
          </w:tcPr>
          <w:p>
            <w:r>
              <w:t>NdhlovuLC_2025_a7e788</w:t>
            </w:r>
          </w:p>
        </w:tc>
        <w:tc>
          <w:tcPr>
            <w:tcW w:type="dxa" w:w="1080"/>
          </w:tcPr>
          <w:p>
            <w:r>
              <w:t>Ndhlovu LC</w:t>
            </w:r>
          </w:p>
        </w:tc>
        <w:tc>
          <w:tcPr>
            <w:tcW w:type="dxa" w:w="1080"/>
          </w:tcPr>
          <w:p>
            <w:r>
              <w:t>2025</w:t>
            </w:r>
          </w:p>
        </w:tc>
        <w:tc>
          <w:tcPr>
            <w:tcW w:type="dxa" w:w="1080"/>
          </w:tcPr>
          <w:p>
            <w:r>
              <w:t>10.1093/infdis/jiaf430</w:t>
            </w:r>
          </w:p>
        </w:tc>
        <w:tc>
          <w:tcPr>
            <w:tcW w:type="dxa" w:w="1080"/>
          </w:tcPr>
          <w:p>
            <w:r>
              <w:t>40810569.0</w:t>
            </w:r>
          </w:p>
        </w:tc>
        <w:tc>
          <w:tcPr>
            <w:tcW w:type="dxa" w:w="1080"/>
          </w:tcPr>
          <w:p>
            <w:r>
              <w:t>pending</w:t>
            </w:r>
          </w:p>
        </w:tc>
        <w:tc>
          <w:tcPr>
            <w:tcW w:type="dxa" w:w="1080"/>
          </w:tcPr>
          <w:p>
            <w:r/>
          </w:p>
        </w:tc>
        <w:tc>
          <w:tcPr>
            <w:tcW w:type="dxa" w:w="1080"/>
          </w:tcPr>
          <w:p>
            <w:r>
              <w:t>pending</w:t>
            </w:r>
          </w:p>
        </w:tc>
      </w:tr>
      <w:tr>
        <w:tc>
          <w:tcPr>
            <w:tcW w:type="dxa" w:w="1080"/>
          </w:tcPr>
          <w:p>
            <w:r>
              <w:t>Anon_2022_76cf8d</w:t>
            </w:r>
          </w:p>
        </w:tc>
        <w:tc>
          <w:tcPr>
            <w:tcW w:type="dxa" w:w="1080"/>
          </w:tcPr>
          <w:p>
            <w:r>
              <w:t>Anon</w:t>
            </w:r>
          </w:p>
        </w:tc>
        <w:tc>
          <w:tcPr>
            <w:tcW w:type="dxa" w:w="1080"/>
          </w:tcPr>
          <w:p>
            <w:r>
              <w:t>2022</w:t>
            </w:r>
          </w:p>
        </w:tc>
        <w:tc>
          <w:tcPr>
            <w:tcW w:type="dxa" w:w="1080"/>
          </w:tcPr>
          <w:p>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WangS_2025_28ec80</w:t>
            </w:r>
          </w:p>
        </w:tc>
        <w:tc>
          <w:tcPr>
            <w:tcW w:type="dxa" w:w="1080"/>
          </w:tcPr>
          <w:p>
            <w:r>
              <w:t>Wang S</w:t>
            </w:r>
          </w:p>
        </w:tc>
        <w:tc>
          <w:tcPr>
            <w:tcW w:type="dxa" w:w="1080"/>
          </w:tcPr>
          <w:p>
            <w:r>
              <w:t>2025</w:t>
            </w:r>
          </w:p>
        </w:tc>
        <w:tc>
          <w:tcPr>
            <w:tcW w:type="dxa" w:w="1080"/>
          </w:tcPr>
          <w:p>
            <w:r>
              <w:t>10.1002/advs.202417728</w:t>
            </w:r>
          </w:p>
        </w:tc>
        <w:tc>
          <w:tcPr>
            <w:tcW w:type="dxa" w:w="1080"/>
          </w:tcPr>
          <w:p>
            <w:r>
              <w:t>40433895.0</w:t>
            </w:r>
          </w:p>
        </w:tc>
        <w:tc>
          <w:tcPr>
            <w:tcW w:type="dxa" w:w="1080"/>
          </w:tcPr>
          <w:p>
            <w:r>
              <w:t>pending</w:t>
            </w:r>
          </w:p>
        </w:tc>
        <w:tc>
          <w:tcPr>
            <w:tcW w:type="dxa" w:w="1080"/>
          </w:tcPr>
          <w:p>
            <w:r/>
          </w:p>
        </w:tc>
        <w:tc>
          <w:tcPr>
            <w:tcW w:type="dxa" w:w="1080"/>
          </w:tcPr>
          <w:p>
            <w:r>
              <w:t>pending</w:t>
            </w:r>
          </w:p>
        </w:tc>
      </w:tr>
      <w:tr>
        <w:tc>
          <w:tcPr>
            <w:tcW w:type="dxa" w:w="1080"/>
          </w:tcPr>
          <w:p>
            <w:r>
              <w:t>LukkahataiN_2023_edac4e</w:t>
            </w:r>
          </w:p>
        </w:tc>
        <w:tc>
          <w:tcPr>
            <w:tcW w:type="dxa" w:w="1080"/>
          </w:tcPr>
          <w:p>
            <w:r>
              <w:t>Lukkahatai N</w:t>
            </w:r>
          </w:p>
        </w:tc>
        <w:tc>
          <w:tcPr>
            <w:tcW w:type="dxa" w:w="1080"/>
          </w:tcPr>
          <w:p>
            <w:r>
              <w:t>2023</w:t>
            </w:r>
          </w:p>
        </w:tc>
        <w:tc>
          <w:tcPr>
            <w:tcW w:type="dxa" w:w="1080"/>
          </w:tcPr>
          <w:p>
            <w:r>
              <w:t>10.3390/biomedicines11113076</w:t>
            </w:r>
          </w:p>
        </w:tc>
        <w:tc>
          <w:tcPr>
            <w:tcW w:type="dxa" w:w="1080"/>
          </w:tcPr>
          <w:p>
            <w:r>
              <w:t>38002076.0</w:t>
            </w:r>
          </w:p>
        </w:tc>
        <w:tc>
          <w:tcPr>
            <w:tcW w:type="dxa" w:w="1080"/>
          </w:tcPr>
          <w:p>
            <w:r>
              <w:t>pending</w:t>
            </w:r>
          </w:p>
        </w:tc>
        <w:tc>
          <w:tcPr>
            <w:tcW w:type="dxa" w:w="1080"/>
          </w:tcPr>
          <w:p>
            <w:r/>
          </w:p>
        </w:tc>
        <w:tc>
          <w:tcPr>
            <w:tcW w:type="dxa" w:w="1080"/>
          </w:tcPr>
          <w:p>
            <w:r>
              <w:t>pending</w:t>
            </w:r>
          </w:p>
        </w:tc>
      </w:tr>
      <w:tr>
        <w:tc>
          <w:tcPr>
            <w:tcW w:type="dxa" w:w="1080"/>
          </w:tcPr>
          <w:p>
            <w:r>
              <w:t>AlkemaA_2026_773590</w:t>
            </w:r>
          </w:p>
        </w:tc>
        <w:tc>
          <w:tcPr>
            <w:tcW w:type="dxa" w:w="1080"/>
          </w:tcPr>
          <w:p>
            <w:r>
              <w:t>Alkema A</w:t>
            </w:r>
          </w:p>
        </w:tc>
        <w:tc>
          <w:tcPr>
            <w:tcW w:type="dxa" w:w="1080"/>
          </w:tcPr>
          <w:p>
            <w:r>
              <w:t>2026</w:t>
            </w:r>
          </w:p>
        </w:tc>
        <w:tc>
          <w:tcPr>
            <w:tcW w:type="dxa" w:w="1080"/>
          </w:tcPr>
          <w:p>
            <w:r>
              <w:t>10.1080/17501911.2026.2645001</w:t>
            </w:r>
          </w:p>
        </w:tc>
        <w:tc>
          <w:tcPr>
            <w:tcW w:type="dxa" w:w="1080"/>
          </w:tcPr>
          <w:p>
            <w:r>
              <w:t>42027147.0</w:t>
            </w:r>
          </w:p>
        </w:tc>
        <w:tc>
          <w:tcPr>
            <w:tcW w:type="dxa" w:w="1080"/>
          </w:tcPr>
          <w:p>
            <w:r>
              <w:t>pending</w:t>
            </w:r>
          </w:p>
        </w:tc>
        <w:tc>
          <w:tcPr>
            <w:tcW w:type="dxa" w:w="1080"/>
          </w:tcPr>
          <w:p>
            <w:r/>
          </w:p>
        </w:tc>
        <w:tc>
          <w:tcPr>
            <w:tcW w:type="dxa" w:w="1080"/>
          </w:tcPr>
          <w:p>
            <w:r>
              <w:t>pending</w:t>
            </w:r>
          </w:p>
        </w:tc>
      </w:tr>
      <w:tr>
        <w:tc>
          <w:tcPr>
            <w:tcW w:type="dxa" w:w="1080"/>
          </w:tcPr>
          <w:p>
            <w:r>
              <w:t>MerrillSM_2024_5ee99d</w:t>
            </w:r>
          </w:p>
        </w:tc>
        <w:tc>
          <w:tcPr>
            <w:tcW w:type="dxa" w:w="1080"/>
          </w:tcPr>
          <w:p>
            <w:r>
              <w:t>Merrill SM</w:t>
            </w:r>
          </w:p>
        </w:tc>
        <w:tc>
          <w:tcPr>
            <w:tcW w:type="dxa" w:w="1080"/>
          </w:tcPr>
          <w:p>
            <w:r>
              <w:t>2024</w:t>
            </w:r>
          </w:p>
        </w:tc>
        <w:tc>
          <w:tcPr>
            <w:tcW w:type="dxa" w:w="1080"/>
          </w:tcPr>
          <w:p>
            <w:r>
              <w:t>10.1001/jamanetworkopen.2024.24815</w:t>
            </w:r>
          </w:p>
        </w:tc>
        <w:tc>
          <w:tcPr>
            <w:tcW w:type="dxa" w:w="1080"/>
          </w:tcPr>
          <w:p>
            <w:r>
              <w:t>39073812.0</w:t>
            </w:r>
          </w:p>
        </w:tc>
        <w:tc>
          <w:tcPr>
            <w:tcW w:type="dxa" w:w="1080"/>
          </w:tcPr>
          <w:p>
            <w:r>
              <w:t>pending</w:t>
            </w:r>
          </w:p>
        </w:tc>
        <w:tc>
          <w:tcPr>
            <w:tcW w:type="dxa" w:w="1080"/>
          </w:tcPr>
          <w:p>
            <w:r/>
          </w:p>
        </w:tc>
        <w:tc>
          <w:tcPr>
            <w:tcW w:type="dxa" w:w="1080"/>
          </w:tcPr>
          <w:p>
            <w:r>
              <w:t>pending</w:t>
            </w:r>
          </w:p>
        </w:tc>
      </w:tr>
      <w:tr>
        <w:tc>
          <w:tcPr>
            <w:tcW w:type="dxa" w:w="1080"/>
          </w:tcPr>
          <w:p>
            <w:r>
              <w:t>YaskolkaMeirA_2023_ba151d</w:t>
            </w:r>
          </w:p>
        </w:tc>
        <w:tc>
          <w:tcPr>
            <w:tcW w:type="dxa" w:w="1080"/>
          </w:tcPr>
          <w:p>
            <w:r>
              <w:t>Yaskolka Meir A</w:t>
            </w:r>
          </w:p>
        </w:tc>
        <w:tc>
          <w:tcPr>
            <w:tcW w:type="dxa" w:w="1080"/>
          </w:tcPr>
          <w:p>
            <w:r>
              <w:t>2023</w:t>
            </w:r>
          </w:p>
        </w:tc>
        <w:tc>
          <w:tcPr>
            <w:tcW w:type="dxa" w:w="1080"/>
          </w:tcPr>
          <w:p>
            <w:r>
              <w:t>10.1186/s12916-023-03067-3</w:t>
            </w:r>
          </w:p>
        </w:tc>
        <w:tc>
          <w:tcPr>
            <w:tcW w:type="dxa" w:w="1080"/>
          </w:tcPr>
          <w:p>
            <w:r>
              <w:t>37743489.0</w:t>
            </w:r>
          </w:p>
        </w:tc>
        <w:tc>
          <w:tcPr>
            <w:tcW w:type="dxa" w:w="1080"/>
          </w:tcPr>
          <w:p>
            <w:r>
              <w:t>pending</w:t>
            </w:r>
          </w:p>
        </w:tc>
        <w:tc>
          <w:tcPr>
            <w:tcW w:type="dxa" w:w="1080"/>
          </w:tcPr>
          <w:p>
            <w:r/>
          </w:p>
        </w:tc>
        <w:tc>
          <w:tcPr>
            <w:tcW w:type="dxa" w:w="1080"/>
          </w:tcPr>
          <w:p>
            <w:r>
              <w:t>pending</w:t>
            </w:r>
          </w:p>
        </w:tc>
      </w:tr>
      <w:tr>
        <w:tc>
          <w:tcPr>
            <w:tcW w:type="dxa" w:w="1080"/>
          </w:tcPr>
          <w:p>
            <w:r>
              <w:t>OrrME_2024_4b35d1</w:t>
            </w:r>
          </w:p>
        </w:tc>
        <w:tc>
          <w:tcPr>
            <w:tcW w:type="dxa" w:w="1080"/>
          </w:tcPr>
          <w:p>
            <w:r>
              <w:t>Orr ME</w:t>
            </w:r>
          </w:p>
        </w:tc>
        <w:tc>
          <w:tcPr>
            <w:tcW w:type="dxa" w:w="1080"/>
          </w:tcPr>
          <w:p>
            <w:r>
              <w:t>2024</w:t>
            </w:r>
          </w:p>
        </w:tc>
        <w:tc>
          <w:tcPr>
            <w:tcW w:type="dxa" w:w="1080"/>
          </w:tcPr>
          <w:p>
            <w:r>
              <w:t>10.1007/s11357-023-00999-9</w:t>
            </w:r>
          </w:p>
        </w:tc>
        <w:tc>
          <w:tcPr>
            <w:tcW w:type="dxa" w:w="1080"/>
          </w:tcPr>
          <w:p>
            <w:r>
              <w:t>37994989.0</w:t>
            </w:r>
          </w:p>
        </w:tc>
        <w:tc>
          <w:tcPr>
            <w:tcW w:type="dxa" w:w="1080"/>
          </w:tcPr>
          <w:p>
            <w:r>
              <w:t>pending</w:t>
            </w:r>
          </w:p>
        </w:tc>
        <w:tc>
          <w:tcPr>
            <w:tcW w:type="dxa" w:w="1080"/>
          </w:tcPr>
          <w:p>
            <w:r/>
          </w:p>
        </w:tc>
        <w:tc>
          <w:tcPr>
            <w:tcW w:type="dxa" w:w="1080"/>
          </w:tcPr>
          <w:p>
            <w:r>
              <w:t>pending</w:t>
            </w:r>
          </w:p>
        </w:tc>
      </w:tr>
      <w:tr>
        <w:tc>
          <w:tcPr>
            <w:tcW w:type="dxa" w:w="1080"/>
          </w:tcPr>
          <w:p>
            <w:r>
              <w:t>LiS_2026_ed6e27</w:t>
            </w:r>
          </w:p>
        </w:tc>
        <w:tc>
          <w:tcPr>
            <w:tcW w:type="dxa" w:w="1080"/>
          </w:tcPr>
          <w:p>
            <w:r>
              <w:t>Li S</w:t>
            </w:r>
          </w:p>
        </w:tc>
        <w:tc>
          <w:tcPr>
            <w:tcW w:type="dxa" w:w="1080"/>
          </w:tcPr>
          <w:p>
            <w:r>
              <w:t>2026</w:t>
            </w:r>
          </w:p>
        </w:tc>
        <w:tc>
          <w:tcPr>
            <w:tcW w:type="dxa" w:w="1080"/>
          </w:tcPr>
          <w:p>
            <w:r>
              <w:t>10.1038/s41591-026-04239-3</w:t>
            </w:r>
          </w:p>
        </w:tc>
        <w:tc>
          <w:tcPr>
            <w:tcW w:type="dxa" w:w="1080"/>
          </w:tcPr>
          <w:p>
            <w:r>
              <w:t>41803341.0</w:t>
            </w:r>
          </w:p>
        </w:tc>
        <w:tc>
          <w:tcPr>
            <w:tcW w:type="dxa" w:w="1080"/>
          </w:tcPr>
          <w:p>
            <w:r>
              <w:t>pending</w:t>
            </w:r>
          </w:p>
        </w:tc>
        <w:tc>
          <w:tcPr>
            <w:tcW w:type="dxa" w:w="1080"/>
          </w:tcPr>
          <w:p>
            <w:r/>
          </w:p>
        </w:tc>
        <w:tc>
          <w:tcPr>
            <w:tcW w:type="dxa" w:w="1080"/>
          </w:tcPr>
          <w:p>
            <w:r>
              <w:t>pending</w:t>
            </w:r>
          </w:p>
        </w:tc>
      </w:tr>
      <w:tr>
        <w:tc>
          <w:tcPr>
            <w:tcW w:type="dxa" w:w="1080"/>
          </w:tcPr>
          <w:p>
            <w:r>
              <w:t>WeberDM_2025_984085</w:t>
            </w:r>
          </w:p>
        </w:tc>
        <w:tc>
          <w:tcPr>
            <w:tcW w:type="dxa" w:w="1080"/>
          </w:tcPr>
          <w:p>
            <w:r>
              <w:t>Weber DM</w:t>
            </w:r>
          </w:p>
        </w:tc>
        <w:tc>
          <w:tcPr>
            <w:tcW w:type="dxa" w:w="1080"/>
          </w:tcPr>
          <w:p>
            <w:r>
              <w:t>2025</w:t>
            </w:r>
          </w:p>
        </w:tc>
        <w:tc>
          <w:tcPr>
            <w:tcW w:type="dxa" w:w="1080"/>
          </w:tcPr>
          <w:p>
            <w:r>
              <w:t>10.1037/hea0001495</w:t>
            </w:r>
          </w:p>
        </w:tc>
        <w:tc>
          <w:tcPr>
            <w:tcW w:type="dxa" w:w="1080"/>
          </w:tcPr>
          <w:p>
            <w:r>
              <w:t>40167560.0</w:t>
            </w:r>
          </w:p>
        </w:tc>
        <w:tc>
          <w:tcPr>
            <w:tcW w:type="dxa" w:w="1080"/>
          </w:tcPr>
          <w:p>
            <w:r>
              <w:t>pending</w:t>
            </w:r>
          </w:p>
        </w:tc>
        <w:tc>
          <w:tcPr>
            <w:tcW w:type="dxa" w:w="1080"/>
          </w:tcPr>
          <w:p>
            <w:r/>
          </w:p>
        </w:tc>
        <w:tc>
          <w:tcPr>
            <w:tcW w:type="dxa" w:w="1080"/>
          </w:tcPr>
          <w:p>
            <w:r>
              <w:t>pending</w:t>
            </w:r>
          </w:p>
        </w:tc>
      </w:tr>
      <w:tr>
        <w:tc>
          <w:tcPr>
            <w:tcW w:type="dxa" w:w="1080"/>
          </w:tcPr>
          <w:p>
            <w:r>
              <w:t>NwanajiEnweremJC_2021_06bc0c</w:t>
            </w:r>
          </w:p>
        </w:tc>
        <w:tc>
          <w:tcPr>
            <w:tcW w:type="dxa" w:w="1080"/>
          </w:tcPr>
          <w:p>
            <w:r>
              <w:t>Nwanaji-Enwerem JC</w:t>
            </w:r>
          </w:p>
        </w:tc>
        <w:tc>
          <w:tcPr>
            <w:tcW w:type="dxa" w:w="1080"/>
          </w:tcPr>
          <w:p>
            <w:r>
              <w:t>2021</w:t>
            </w:r>
          </w:p>
        </w:tc>
        <w:tc>
          <w:tcPr>
            <w:tcW w:type="dxa" w:w="1080"/>
          </w:tcPr>
          <w:p>
            <w:r>
              <w:t>10.1186/s13148-021-01218-y</w:t>
            </w:r>
          </w:p>
        </w:tc>
        <w:tc>
          <w:tcPr>
            <w:tcW w:type="dxa" w:w="1080"/>
          </w:tcPr>
          <w:p>
            <w:r>
              <w:t>34920739.0</w:t>
            </w:r>
          </w:p>
        </w:tc>
        <w:tc>
          <w:tcPr>
            <w:tcW w:type="dxa" w:w="1080"/>
          </w:tcPr>
          <w:p>
            <w:r>
              <w:t>pending</w:t>
            </w:r>
          </w:p>
        </w:tc>
        <w:tc>
          <w:tcPr>
            <w:tcW w:type="dxa" w:w="1080"/>
          </w:tcPr>
          <w:p>
            <w:r/>
          </w:p>
        </w:tc>
        <w:tc>
          <w:tcPr>
            <w:tcW w:type="dxa" w:w="1080"/>
          </w:tcPr>
          <w:p>
            <w:r>
              <w:t>pending</w:t>
            </w:r>
          </w:p>
        </w:tc>
      </w:tr>
      <w:tr>
        <w:tc>
          <w:tcPr>
            <w:tcW w:type="dxa" w:w="1080"/>
          </w:tcPr>
          <w:p>
            <w:r>
              <w:t>Anon_2022_70e2d6</w:t>
            </w:r>
          </w:p>
        </w:tc>
        <w:tc>
          <w:tcPr>
            <w:tcW w:type="dxa" w:w="1080"/>
          </w:tcPr>
          <w:p>
            <w:r>
              <w:t>Anon</w:t>
            </w:r>
          </w:p>
        </w:tc>
        <w:tc>
          <w:tcPr>
            <w:tcW w:type="dxa" w:w="1080"/>
          </w:tcPr>
          <w:p>
            <w:r>
              <w:t>2022</w:t>
            </w:r>
          </w:p>
        </w:tc>
        <w:tc>
          <w:tcPr>
            <w:tcW w:type="dxa" w:w="1080"/>
          </w:tcPr>
          <w:p>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ChenL_2019_c57fe5</w:t>
            </w:r>
          </w:p>
        </w:tc>
        <w:tc>
          <w:tcPr>
            <w:tcW w:type="dxa" w:w="1080"/>
          </w:tcPr>
          <w:p>
            <w:r>
              <w:t>Chen L</w:t>
            </w:r>
          </w:p>
        </w:tc>
        <w:tc>
          <w:tcPr>
            <w:tcW w:type="dxa" w:w="1080"/>
          </w:tcPr>
          <w:p>
            <w:r>
              <w:t>2019</w:t>
            </w:r>
          </w:p>
        </w:tc>
        <w:tc>
          <w:tcPr>
            <w:tcW w:type="dxa" w:w="1080"/>
          </w:tcPr>
          <w:p>
            <w:r>
              <w:t>10.1093/gerona/gly223</w:t>
            </w:r>
          </w:p>
        </w:tc>
        <w:tc>
          <w:tcPr>
            <w:tcW w:type="dxa" w:w="1080"/>
          </w:tcPr>
          <w:p>
            <w:r>
              <w:t>30256915.0</w:t>
            </w:r>
          </w:p>
        </w:tc>
        <w:tc>
          <w:tcPr>
            <w:tcW w:type="dxa" w:w="1080"/>
          </w:tcPr>
          <w:p>
            <w:r>
              <w:t>pending</w:t>
            </w:r>
          </w:p>
        </w:tc>
        <w:tc>
          <w:tcPr>
            <w:tcW w:type="dxa" w:w="1080"/>
          </w:tcPr>
          <w:p>
            <w:r/>
          </w:p>
        </w:tc>
        <w:tc>
          <w:tcPr>
            <w:tcW w:type="dxa" w:w="1080"/>
          </w:tcPr>
          <w:p>
            <w:r>
              <w:t>pending</w:t>
            </w:r>
          </w:p>
        </w:tc>
      </w:tr>
      <w:tr>
        <w:tc>
          <w:tcPr>
            <w:tcW w:type="dxa" w:w="1080"/>
          </w:tcPr>
          <w:p>
            <w:r>
              <w:t>ZhangB_2026_5cf019</w:t>
            </w:r>
          </w:p>
        </w:tc>
        <w:tc>
          <w:tcPr>
            <w:tcW w:type="dxa" w:w="1080"/>
          </w:tcPr>
          <w:p>
            <w:r>
              <w:t>Zhang B</w:t>
            </w:r>
          </w:p>
        </w:tc>
        <w:tc>
          <w:tcPr>
            <w:tcW w:type="dxa" w:w="1080"/>
          </w:tcPr>
          <w:p>
            <w:r>
              <w:t>2026</w:t>
            </w:r>
          </w:p>
        </w:tc>
        <w:tc>
          <w:tcPr>
            <w:tcW w:type="dxa" w:w="1080"/>
          </w:tcPr>
          <w:p>
            <w:r>
              <w:t>10.1016/j.exger.2026.113168</w:t>
            </w:r>
          </w:p>
        </w:tc>
        <w:tc>
          <w:tcPr>
            <w:tcW w:type="dxa" w:w="1080"/>
          </w:tcPr>
          <w:p>
            <w:r>
              <w:t>42119652.0</w:t>
            </w:r>
          </w:p>
        </w:tc>
        <w:tc>
          <w:tcPr>
            <w:tcW w:type="dxa" w:w="1080"/>
          </w:tcPr>
          <w:p>
            <w:r>
              <w:t>pending</w:t>
            </w:r>
          </w:p>
        </w:tc>
        <w:tc>
          <w:tcPr>
            <w:tcW w:type="dxa" w:w="1080"/>
          </w:tcPr>
          <w:p>
            <w:r/>
          </w:p>
        </w:tc>
        <w:tc>
          <w:tcPr>
            <w:tcW w:type="dxa" w:w="1080"/>
          </w:tcPr>
          <w:p>
            <w:r>
              <w:t>pending</w:t>
            </w:r>
          </w:p>
        </w:tc>
      </w:tr>
      <w:tr>
        <w:tc>
          <w:tcPr>
            <w:tcW w:type="dxa" w:w="1080"/>
          </w:tcPr>
          <w:p>
            <w:r>
              <w:t>WaziryR_2021_222aa5</w:t>
            </w:r>
          </w:p>
        </w:tc>
        <w:tc>
          <w:tcPr>
            <w:tcW w:type="dxa" w:w="1080"/>
          </w:tcPr>
          <w:p>
            <w:r>
              <w:t>Waziry R</w:t>
            </w:r>
          </w:p>
        </w:tc>
        <w:tc>
          <w:tcPr>
            <w:tcW w:type="dxa" w:w="1080"/>
          </w:tcPr>
          <w:p>
            <w:r>
              <w:t>2021</w:t>
            </w:r>
          </w:p>
        </w:tc>
        <w:tc>
          <w:tcPr>
            <w:tcW w:type="dxa" w:w="1080"/>
          </w:tcPr>
          <w:p>
            <w:r>
              <w:t>10.1101/2021.09.21.21263912</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WangS_2024_1247bd</w:t>
            </w:r>
          </w:p>
        </w:tc>
        <w:tc>
          <w:tcPr>
            <w:tcW w:type="dxa" w:w="1080"/>
          </w:tcPr>
          <w:p>
            <w:r>
              <w:t>Wang S</w:t>
            </w:r>
          </w:p>
        </w:tc>
        <w:tc>
          <w:tcPr>
            <w:tcW w:type="dxa" w:w="1080"/>
          </w:tcPr>
          <w:p>
            <w:r>
              <w:t>2024</w:t>
            </w:r>
          </w:p>
        </w:tc>
        <w:tc>
          <w:tcPr>
            <w:tcW w:type="dxa" w:w="1080"/>
          </w:tcPr>
          <w:p>
            <w:r>
              <w:t>10.3390/nu16091343</w:t>
            </w:r>
          </w:p>
        </w:tc>
        <w:tc>
          <w:tcPr>
            <w:tcW w:type="dxa" w:w="1080"/>
          </w:tcPr>
          <w:p>
            <w:r>
              <w:t>38732590.0</w:t>
            </w:r>
          </w:p>
        </w:tc>
        <w:tc>
          <w:tcPr>
            <w:tcW w:type="dxa" w:w="1080"/>
          </w:tcPr>
          <w:p>
            <w:r>
              <w:t>pending</w:t>
            </w:r>
          </w:p>
        </w:tc>
        <w:tc>
          <w:tcPr>
            <w:tcW w:type="dxa" w:w="1080"/>
          </w:tcPr>
          <w:p>
            <w:r/>
          </w:p>
        </w:tc>
        <w:tc>
          <w:tcPr>
            <w:tcW w:type="dxa" w:w="1080"/>
          </w:tcPr>
          <w:p>
            <w:r>
              <w:t>pending</w:t>
            </w:r>
          </w:p>
        </w:tc>
      </w:tr>
      <w:tr>
        <w:tc>
          <w:tcPr>
            <w:tcW w:type="dxa" w:w="1080"/>
          </w:tcPr>
          <w:p>
            <w:r>
              <w:t>Euclydes_2022_9ce80c</w:t>
            </w:r>
          </w:p>
        </w:tc>
        <w:tc>
          <w:tcPr>
            <w:tcW w:type="dxa" w:w="1080"/>
          </w:tcPr>
          <w:p>
            <w:r>
              <w:t>Euclydes</w:t>
            </w:r>
          </w:p>
        </w:tc>
        <w:tc>
          <w:tcPr>
            <w:tcW w:type="dxa" w:w="1080"/>
          </w:tcPr>
          <w:p>
            <w:r>
              <w:t>2022</w:t>
            </w:r>
          </w:p>
        </w:tc>
        <w:tc>
          <w:tcPr>
            <w:tcW w:type="dxa" w:w="1080"/>
          </w:tcPr>
          <w:p>
            <w:r>
              <w:t>10.1017/s2040174421000738</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Ramsteijn_2026_051063</w:t>
            </w:r>
          </w:p>
        </w:tc>
        <w:tc>
          <w:tcPr>
            <w:tcW w:type="dxa" w:w="1080"/>
          </w:tcPr>
          <w:p>
            <w:r>
              <w:t>Ramsteijn</w:t>
            </w:r>
          </w:p>
        </w:tc>
        <w:tc>
          <w:tcPr>
            <w:tcW w:type="dxa" w:w="1080"/>
          </w:tcPr>
          <w:p>
            <w:r>
              <w:t>2026</w:t>
            </w:r>
          </w:p>
        </w:tc>
        <w:tc>
          <w:tcPr>
            <w:tcW w:type="dxa" w:w="1080"/>
          </w:tcPr>
          <w:p>
            <w:r>
              <w:t>10.1093/ecco-jcc/jjaf231.1490</w:t>
            </w:r>
          </w:p>
        </w:tc>
        <w:tc>
          <w:tcPr>
            <w:tcW w:type="dxa" w:w="1080"/>
          </w:tcPr>
          <w:p>
            <w:r/>
          </w:p>
        </w:tc>
        <w:tc>
          <w:tcPr>
            <w:tcW w:type="dxa" w:w="1080"/>
          </w:tcPr>
          <w:p>
            <w:r>
              <w:t>pending</w:t>
            </w:r>
          </w:p>
        </w:tc>
        <w:tc>
          <w:tcPr>
            <w:tcW w:type="dxa" w:w="1080"/>
          </w:tcPr>
          <w:p>
            <w:r/>
          </w:p>
        </w:tc>
        <w:tc>
          <w:tcPr>
            <w:tcW w:type="dxa" w:w="1080"/>
          </w:tcPr>
          <w:p>
            <w:r>
              <w:t>pending</w:t>
            </w:r>
          </w:p>
        </w:tc>
      </w:tr>
      <w:tr>
        <w:tc>
          <w:tcPr>
            <w:tcW w:type="dxa" w:w="1080"/>
          </w:tcPr>
          <w:p>
            <w:r>
              <w:t>EstebanCantos_2021_63f044</w:t>
            </w:r>
          </w:p>
        </w:tc>
        <w:tc>
          <w:tcPr>
            <w:tcW w:type="dxa" w:w="1080"/>
          </w:tcPr>
          <w:p>
            <w:r>
              <w:t>Esteban-Cantos</w:t>
            </w:r>
          </w:p>
        </w:tc>
        <w:tc>
          <w:tcPr>
            <w:tcW w:type="dxa" w:w="1080"/>
          </w:tcPr>
          <w:p>
            <w:r>
              <w:t>2021</w:t>
            </w:r>
          </w:p>
        </w:tc>
        <w:tc>
          <w:tcPr>
            <w:tcW w:type="dxa" w:w="1080"/>
          </w:tcPr>
          <w:p>
            <w:r>
              <w:t>10.1016/s2352-3018(21)00006-0</w:t>
            </w:r>
          </w:p>
        </w:tc>
        <w:tc>
          <w:tcPr>
            <w:tcW w:type="dxa" w:w="1080"/>
          </w:tcPr>
          <w:p>
            <w:r>
              <w:t>33794182.0</w:t>
            </w:r>
          </w:p>
        </w:tc>
        <w:tc>
          <w:tcPr>
            <w:tcW w:type="dxa" w:w="1080"/>
          </w:tcPr>
          <w:p>
            <w:r>
              <w:t>pending</w:t>
            </w:r>
          </w:p>
        </w:tc>
        <w:tc>
          <w:tcPr>
            <w:tcW w:type="dxa" w:w="1080"/>
          </w:tcPr>
          <w:p>
            <w:r/>
          </w:p>
        </w:tc>
        <w:tc>
          <w:tcPr>
            <w:tcW w:type="dxa" w:w="1080"/>
          </w:tcPr>
          <w:p>
            <w:r>
              <w:t>pending</w:t>
            </w:r>
          </w:p>
        </w:tc>
      </w:tr>
      <w:tr>
        <w:tc>
          <w:tcPr>
            <w:tcW w:type="dxa" w:w="1080"/>
          </w:tcPr>
          <w:p>
            <w:r>
              <w:t>Anon_2022_df1726</w:t>
            </w:r>
          </w:p>
        </w:tc>
        <w:tc>
          <w:tcPr>
            <w:tcW w:type="dxa" w:w="1080"/>
          </w:tcPr>
          <w:p>
            <w:r>
              <w:t>Anon</w:t>
            </w:r>
          </w:p>
        </w:tc>
        <w:tc>
          <w:tcPr>
            <w:tcW w:type="dxa" w:w="1080"/>
          </w:tcPr>
          <w:p>
            <w:r>
              <w:t>2022</w:t>
            </w:r>
          </w:p>
        </w:tc>
        <w:tc>
          <w:tcPr>
            <w:tcW w:type="dxa" w:w="1080"/>
          </w:tcPr>
          <w:p>
            <w:r/>
          </w:p>
        </w:tc>
        <w:tc>
          <w:tcPr>
            <w:tcW w:type="dxa" w:w="1080"/>
          </w:tcPr>
          <w:p>
            <w:r/>
          </w:p>
        </w:tc>
        <w:tc>
          <w:tcPr>
            <w:tcW w:type="dxa" w:w="1080"/>
          </w:tcPr>
          <w:p>
            <w:r>
              <w:t>pending</w:t>
            </w:r>
          </w:p>
        </w:tc>
        <w:tc>
          <w:tcPr>
            <w:tcW w:type="dxa" w:w="1080"/>
          </w:tcPr>
          <w:p>
            <w:r/>
          </w:p>
        </w:tc>
        <w:tc>
          <w:tcPr>
            <w:tcW w:type="dxa" w:w="1080"/>
          </w:tcPr>
          <w:p>
            <w:r>
              <w:t>pending</w:t>
            </w:r>
          </w:p>
        </w:tc>
      </w:tr>
    </w:tbl>
    <w:p>
      <w:pPr>
        <w:pStyle w:val="Heading1"/>
      </w:pPr>
      <w:r>
        <w:t>S4. Per-clock pooled (Path-C)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clock</w:t>
            </w:r>
          </w:p>
        </w:tc>
        <w:tc>
          <w:tcPr>
            <w:tcW w:type="dxa" w:w="1080"/>
          </w:tcPr>
          <w:p>
            <w:r>
              <w:t>k</w:t>
            </w:r>
          </w:p>
        </w:tc>
        <w:tc>
          <w:tcPr>
            <w:tcW w:type="dxa" w:w="1080"/>
          </w:tcPr>
          <w:p>
            <w:r>
              <w:t>mu_dl</w:t>
            </w:r>
          </w:p>
        </w:tc>
        <w:tc>
          <w:tcPr>
            <w:tcW w:type="dxa" w:w="1080"/>
          </w:tcPr>
          <w:p>
            <w:r>
              <w:t>ci_lower_dl</w:t>
            </w:r>
          </w:p>
        </w:tc>
        <w:tc>
          <w:tcPr>
            <w:tcW w:type="dxa" w:w="1080"/>
          </w:tcPr>
          <w:p>
            <w:r>
              <w:t>ci_upper_dl</w:t>
            </w:r>
          </w:p>
        </w:tc>
        <w:tc>
          <w:tcPr>
            <w:tcW w:type="dxa" w:w="1080"/>
          </w:tcPr>
          <w:p>
            <w:r>
              <w:t>pi_lower</w:t>
            </w:r>
          </w:p>
        </w:tc>
        <w:tc>
          <w:tcPr>
            <w:tcW w:type="dxa" w:w="1080"/>
          </w:tcPr>
          <w:p>
            <w:r>
              <w:t>pi_upper</w:t>
            </w:r>
          </w:p>
        </w:tc>
        <w:tc>
          <w:tcPr>
            <w:tcW w:type="dxa" w:w="1080"/>
          </w:tcPr>
          <w:p>
            <w:r>
              <w:t>tau2</w:t>
            </w:r>
          </w:p>
        </w:tc>
      </w:tr>
      <w:tr>
        <w:tc>
          <w:tcPr>
            <w:tcW w:type="dxa" w:w="1080"/>
          </w:tcPr>
          <w:p>
            <w:r>
              <w:t>DunedinPACE</w:t>
            </w:r>
          </w:p>
        </w:tc>
        <w:tc>
          <w:tcPr>
            <w:tcW w:type="dxa" w:w="1080"/>
          </w:tcPr>
          <w:p>
            <w:r>
              <w:t>3</w:t>
            </w:r>
          </w:p>
        </w:tc>
        <w:tc>
          <w:tcPr>
            <w:tcW w:type="dxa" w:w="1080"/>
          </w:tcPr>
          <w:p>
            <w:r>
              <w:t>-0.0089525066509856</w:t>
            </w:r>
          </w:p>
        </w:tc>
        <w:tc>
          <w:tcPr>
            <w:tcW w:type="dxa" w:w="1080"/>
          </w:tcPr>
          <w:p>
            <w:r>
              <w:t>-0.1123613908984055</w:t>
            </w:r>
          </w:p>
        </w:tc>
        <w:tc>
          <w:tcPr>
            <w:tcW w:type="dxa" w:w="1080"/>
          </w:tcPr>
          <w:p>
            <w:r>
              <w:t>0.0944563775964342</w:t>
            </w:r>
          </w:p>
        </w:tc>
        <w:tc>
          <w:tcPr>
            <w:tcW w:type="dxa" w:w="1080"/>
          </w:tcPr>
          <w:p>
            <w:r>
              <w:t>-1.178620104118859</w:t>
            </w:r>
          </w:p>
        </w:tc>
        <w:tc>
          <w:tcPr>
            <w:tcW w:type="dxa" w:w="1080"/>
          </w:tcPr>
          <w:p>
            <w:r>
              <w:t>1.160715090816888</w:t>
            </w:r>
          </w:p>
        </w:tc>
        <w:tc>
          <w:tcPr>
            <w:tcW w:type="dxa" w:w="1080"/>
          </w:tcPr>
          <w:p>
            <w:r>
              <w:t>0.0056905138265527</w:t>
            </w:r>
          </w:p>
        </w:tc>
      </w:tr>
      <w:tr>
        <w:tc>
          <w:tcPr>
            <w:tcW w:type="dxa" w:w="1080"/>
          </w:tcPr>
          <w:p>
            <w:r>
              <w:t>GrimAge</w:t>
            </w:r>
          </w:p>
        </w:tc>
        <w:tc>
          <w:tcPr>
            <w:tcW w:type="dxa" w:w="1080"/>
          </w:tcPr>
          <w:p>
            <w: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GrimAge2</w:t>
            </w:r>
          </w:p>
        </w:tc>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PhenoAge</w:t>
            </w:r>
          </w:p>
        </w:tc>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Horvath</w:t>
            </w:r>
          </w:p>
        </w:tc>
        <w:tc>
          <w:tcPr>
            <w:tcW w:type="dxa" w:w="1080"/>
          </w:tcPr>
          <w:p>
            <w:r>
              <w:t>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Hannum</w:t>
            </w:r>
          </w:p>
        </w:tc>
        <w:tc>
          <w:tcPr>
            <w:tcW w:type="dxa" w:w="1080"/>
          </w:tcPr>
          <w:p>
            <w:r>
              <w:t>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PCClock</w:t>
            </w:r>
          </w:p>
        </w:tc>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DNAmTL</w:t>
            </w:r>
          </w:p>
        </w:tc>
        <w:tc>
          <w:tcPr>
            <w:tcW w:type="dxa" w:w="1080"/>
          </w:tcPr>
          <w:p>
            <w:r>
              <w:t>0</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Pr>
        <w:pStyle w:val="Heading1"/>
      </w:pPr>
      <w:r>
        <w:t>S5. Subgroup and meta-regression gates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clock</w:t>
            </w:r>
          </w:p>
        </w:tc>
        <w:tc>
          <w:tcPr>
            <w:tcW w:type="dxa" w:w="1080"/>
          </w:tcPr>
          <w:p>
            <w:r>
              <w:t>moderator</w:t>
            </w:r>
          </w:p>
        </w:tc>
        <w:tc>
          <w:tcPr>
            <w:tcW w:type="dxa" w:w="1080"/>
          </w:tcPr>
          <w:p>
            <w:r>
              <w:t>stratum</w:t>
            </w:r>
          </w:p>
        </w:tc>
        <w:tc>
          <w:tcPr>
            <w:tcW w:type="dxa" w:w="1080"/>
          </w:tcPr>
          <w:p>
            <w:r>
              <w:t>k</w:t>
            </w:r>
          </w:p>
        </w:tc>
        <w:tc>
          <w:tcPr>
            <w:tcW w:type="dxa" w:w="1080"/>
          </w:tcPr>
          <w:p>
            <w:r>
              <w:t>mu</w:t>
            </w:r>
          </w:p>
        </w:tc>
        <w:tc>
          <w:tcPr>
            <w:tcW w:type="dxa" w:w="1080"/>
          </w:tcPr>
          <w:p>
            <w:r>
              <w:t>se</w:t>
            </w:r>
          </w:p>
        </w:tc>
        <w:tc>
          <w:tcPr>
            <w:tcW w:type="dxa" w:w="1080"/>
          </w:tcPr>
          <w:p>
            <w:r>
              <w:t>ci_lower</w:t>
            </w:r>
          </w:p>
        </w:tc>
        <w:tc>
          <w:tcPr>
            <w:tcW w:type="dxa" w:w="1080"/>
          </w:tcPr>
          <w:p>
            <w:r>
              <w:t>ci_upper</w:t>
            </w:r>
          </w:p>
        </w:tc>
      </w:tr>
      <w:tr>
        <w:tc>
          <w:tcPr>
            <w:tcW w:type="dxa" w:w="1080"/>
          </w:tcPr>
          <w:p>
            <w:r>
              <w:t>DunedinPACE</w:t>
            </w:r>
          </w:p>
        </w:tc>
        <w:tc>
          <w:tcPr>
            <w:tcW w:type="dxa" w:w="1080"/>
          </w:tcPr>
          <w:p>
            <w:r>
              <w:t>intervention_class</w:t>
            </w:r>
          </w:p>
        </w:tc>
        <w:tc>
          <w:tcPr>
            <w:tcW w:type="dxa" w:w="1080"/>
          </w:tcPr>
          <w:p>
            <w:r>
              <w:t>exercise</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intervention_class</w:t>
            </w:r>
          </w:p>
        </w:tc>
        <w:tc>
          <w:tcPr>
            <w:tcW w:type="dxa" w:w="1080"/>
          </w:tcPr>
          <w:p>
            <w:r>
              <w:t>pharmacological</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intervention_class</w:t>
            </w:r>
          </w:p>
        </w:tc>
        <w:tc>
          <w:tcPr>
            <w:tcW w:type="dxa" w:w="1080"/>
          </w:tcPr>
          <w:p>
            <w:r>
              <w:t>supplement</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intervention_class</w:t>
            </w:r>
          </w:p>
        </w:tc>
        <w:tc>
          <w:tcPr>
            <w:tcW w:type="dxa" w:w="1080"/>
          </w:tcPr>
          <w:p>
            <w:r>
              <w:t>(between-subgroup-test)</w:t>
            </w:r>
          </w:p>
        </w:tc>
        <w:tc>
          <w:tcPr>
            <w:tcW w:type="dxa" w:w="1080"/>
          </w:tcPr>
          <w:p>
            <w:r>
              <w:t>0</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duration_band</w:t>
            </w:r>
          </w:p>
        </w:tc>
        <w:tc>
          <w:tcPr>
            <w:tcW w:type="dxa" w:w="1080"/>
          </w:tcPr>
          <w:p>
            <w:r>
              <w:t>unknown</w:t>
            </w:r>
          </w:p>
        </w:tc>
        <w:tc>
          <w:tcPr>
            <w:tcW w:type="dxa" w:w="1080"/>
          </w:tcPr>
          <w:p>
            <w:r>
              <w:t>3</w:t>
            </w:r>
          </w:p>
        </w:tc>
        <w:tc>
          <w:tcPr>
            <w:tcW w:type="dxa" w:w="1080"/>
          </w:tcPr>
          <w:p>
            <w:r>
              <w:t>-0.0089525066509856</w:t>
            </w:r>
          </w:p>
        </w:tc>
        <w:tc>
          <w:tcPr>
            <w:tcW w:type="dxa" w:w="1080"/>
          </w:tcPr>
          <w:p>
            <w:r>
              <w:t>0.0527596348201121</w:t>
            </w:r>
          </w:p>
        </w:tc>
        <w:tc>
          <w:tcPr>
            <w:tcW w:type="dxa" w:w="1080"/>
          </w:tcPr>
          <w:p>
            <w:r>
              <w:t>-0.1123613908984055</w:t>
            </w:r>
          </w:p>
        </w:tc>
        <w:tc>
          <w:tcPr>
            <w:tcW w:type="dxa" w:w="1080"/>
          </w:tcPr>
          <w:p>
            <w:r>
              <w:t>0.0944563775964342</w:t>
            </w:r>
          </w:p>
        </w:tc>
      </w:tr>
      <w:tr>
        <w:tc>
          <w:tcPr>
            <w:tcW w:type="dxa" w:w="1080"/>
          </w:tcPr>
          <w:p>
            <w:r>
              <w:t>DunedinPACE</w:t>
            </w:r>
          </w:p>
        </w:tc>
        <w:tc>
          <w:tcPr>
            <w:tcW w:type="dxa" w:w="1080"/>
          </w:tcPr>
          <w:p>
            <w:r>
              <w:t>duration_band</w:t>
            </w:r>
          </w:p>
        </w:tc>
        <w:tc>
          <w:tcPr>
            <w:tcW w:type="dxa" w:w="1080"/>
          </w:tcPr>
          <w:p>
            <w:r>
              <w:t>(between-subgroup-test)</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age_band</w:t>
            </w:r>
          </w:p>
        </w:tc>
        <w:tc>
          <w:tcPr>
            <w:tcW w:type="dxa" w:w="1080"/>
          </w:tcPr>
          <w:p>
            <w:r>
              <w:t>unknown</w:t>
            </w:r>
          </w:p>
        </w:tc>
        <w:tc>
          <w:tcPr>
            <w:tcW w:type="dxa" w:w="1080"/>
          </w:tcPr>
          <w:p>
            <w:r>
              <w:t>3</w:t>
            </w:r>
          </w:p>
        </w:tc>
        <w:tc>
          <w:tcPr>
            <w:tcW w:type="dxa" w:w="1080"/>
          </w:tcPr>
          <w:p>
            <w:r>
              <w:t>-0.0089525066509856</w:t>
            </w:r>
          </w:p>
        </w:tc>
        <w:tc>
          <w:tcPr>
            <w:tcW w:type="dxa" w:w="1080"/>
          </w:tcPr>
          <w:p>
            <w:r>
              <w:t>0.0527596348201121</w:t>
            </w:r>
          </w:p>
        </w:tc>
        <w:tc>
          <w:tcPr>
            <w:tcW w:type="dxa" w:w="1080"/>
          </w:tcPr>
          <w:p>
            <w:r>
              <w:t>-0.1123613908984055</w:t>
            </w:r>
          </w:p>
        </w:tc>
        <w:tc>
          <w:tcPr>
            <w:tcW w:type="dxa" w:w="1080"/>
          </w:tcPr>
          <w:p>
            <w:r>
              <w:t>0.0944563775964342</w:t>
            </w:r>
          </w:p>
        </w:tc>
      </w:tr>
      <w:tr>
        <w:tc>
          <w:tcPr>
            <w:tcW w:type="dxa" w:w="1080"/>
          </w:tcPr>
          <w:p>
            <w:r>
              <w:t>DunedinPACE</w:t>
            </w:r>
          </w:p>
        </w:tc>
        <w:tc>
          <w:tcPr>
            <w:tcW w:type="dxa" w:w="1080"/>
          </w:tcPr>
          <w:p>
            <w:r>
              <w:t>age_band</w:t>
            </w:r>
          </w:p>
        </w:tc>
        <w:tc>
          <w:tcPr>
            <w:tcW w:type="dxa" w:w="1080"/>
          </w:tcPr>
          <w:p>
            <w:r>
              <w:t>(between-subgroup-test)</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health_status</w:t>
            </w:r>
          </w:p>
        </w:tc>
        <w:tc>
          <w:tcPr>
            <w:tcW w:type="dxa" w:w="1080"/>
          </w:tcPr>
          <w:p>
            <w:r>
              <w:t>unknown</w:t>
            </w:r>
          </w:p>
        </w:tc>
        <w:tc>
          <w:tcPr>
            <w:tcW w:type="dxa" w:w="1080"/>
          </w:tcPr>
          <w:p>
            <w:r>
              <w:t>3</w:t>
            </w:r>
          </w:p>
        </w:tc>
        <w:tc>
          <w:tcPr>
            <w:tcW w:type="dxa" w:w="1080"/>
          </w:tcPr>
          <w:p>
            <w:r>
              <w:t>-0.0089525066509856</w:t>
            </w:r>
          </w:p>
        </w:tc>
        <w:tc>
          <w:tcPr>
            <w:tcW w:type="dxa" w:w="1080"/>
          </w:tcPr>
          <w:p>
            <w:r>
              <w:t>0.0527596348201121</w:t>
            </w:r>
          </w:p>
        </w:tc>
        <w:tc>
          <w:tcPr>
            <w:tcW w:type="dxa" w:w="1080"/>
          </w:tcPr>
          <w:p>
            <w:r>
              <w:t>-0.1123613908984055</w:t>
            </w:r>
          </w:p>
        </w:tc>
        <w:tc>
          <w:tcPr>
            <w:tcW w:type="dxa" w:w="1080"/>
          </w:tcPr>
          <w:p>
            <w:r>
              <w:t>0.0944563775964342</w:t>
            </w:r>
          </w:p>
        </w:tc>
      </w:tr>
      <w:tr>
        <w:tc>
          <w:tcPr>
            <w:tcW w:type="dxa" w:w="1080"/>
          </w:tcPr>
          <w:p>
            <w:r>
              <w:t>DunedinPACE</w:t>
            </w:r>
          </w:p>
        </w:tc>
        <w:tc>
          <w:tcPr>
            <w:tcW w:type="dxa" w:w="1080"/>
          </w:tcPr>
          <w:p>
            <w:r>
              <w:t>health_status</w:t>
            </w:r>
          </w:p>
        </w:tc>
        <w:tc>
          <w:tcPr>
            <w:tcW w:type="dxa" w:w="1080"/>
          </w:tcPr>
          <w:p>
            <w:r>
              <w:t>(between-subgroup-test)</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DunedinPACE</w:t>
            </w:r>
          </w:p>
        </w:tc>
        <w:tc>
          <w:tcPr>
            <w:tcW w:type="dxa" w:w="1080"/>
          </w:tcPr>
          <w:p>
            <w:r>
              <w:t>(meta_regression)</w:t>
            </w:r>
          </w:p>
        </w:tc>
        <w:tc>
          <w:tcPr>
            <w:tcW w:type="dxa" w:w="1080"/>
          </w:tcPr>
          <w:p>
            <w:r>
              <w:t>(continuous covariates)</w:t>
            </w:r>
          </w:p>
        </w:tc>
        <w:tc>
          <w:tcPr>
            <w:tcW w:type="dxa" w:w="1080"/>
          </w:tcPr>
          <w:p>
            <w:r>
              <w:t>3</w:t>
            </w:r>
          </w:p>
        </w:tc>
        <w:tc>
          <w:tcPr>
            <w:tcW w:type="dxa" w:w="1080"/>
          </w:tcPr>
          <w:p>
            <w:r/>
          </w:p>
        </w:tc>
        <w:tc>
          <w:tcPr>
            <w:tcW w:type="dxa" w:w="1080"/>
          </w:tcPr>
          <w:p>
            <w:r/>
          </w:p>
        </w:tc>
        <w:tc>
          <w:tcPr>
            <w:tcW w:type="dxa" w:w="1080"/>
          </w:tcPr>
          <w:p>
            <w:r/>
          </w:p>
        </w:tc>
        <w:tc>
          <w:tcPr>
            <w:tcW w:type="dxa" w:w="1080"/>
          </w:tcPr>
          <w:p>
            <w:r/>
          </w:p>
        </w:tc>
      </w:tr>
      <w:tr>
        <w:tc>
          <w:tcPr>
            <w:tcW w:type="dxa" w:w="1080"/>
          </w:tcPr>
          <w:p>
            <w:r>
              <w:t>GrimAge</w:t>
            </w:r>
          </w:p>
        </w:tc>
        <w:tc>
          <w:tcPr>
            <w:tcW w:type="dxa" w:w="1080"/>
          </w:tcPr>
          <w:p>
            <w:r>
              <w:t>(any)</w:t>
            </w:r>
          </w:p>
        </w:tc>
        <w:tc>
          <w:tcPr>
            <w:tcW w:type="dxa" w:w="1080"/>
          </w:tcPr>
          <w:p>
            <w:r>
              <w:t>(any)</w:t>
            </w:r>
          </w:p>
        </w:tc>
        <w:tc>
          <w:tcPr>
            <w:tcW w:type="dxa" w:w="1080"/>
          </w:tcPr>
          <w:p>
            <w:r>
              <w:t>2</w:t>
            </w:r>
          </w:p>
        </w:tc>
        <w:tc>
          <w:tcPr>
            <w:tcW w:type="dxa" w:w="1080"/>
          </w:tcPr>
          <w:p>
            <w:r/>
          </w:p>
        </w:tc>
        <w:tc>
          <w:tcPr>
            <w:tcW w:type="dxa" w:w="1080"/>
          </w:tcPr>
          <w:p>
            <w:r/>
          </w:p>
        </w:tc>
        <w:tc>
          <w:tcPr>
            <w:tcW w:type="dxa" w:w="1080"/>
          </w:tcPr>
          <w:p>
            <w:r/>
          </w:p>
        </w:tc>
        <w:tc>
          <w:tcPr>
            <w:tcW w:type="dxa" w:w="1080"/>
          </w:tcPr>
          <w:p>
            <w:r/>
          </w:p>
        </w:tc>
      </w:tr>
      <w:tr>
        <w:tc>
          <w:tcPr>
            <w:tcW w:type="dxa" w:w="1080"/>
          </w:tcPr>
          <w:p>
            <w:r>
              <w:t>GrimAge2</w:t>
            </w:r>
          </w:p>
        </w:tc>
        <w:tc>
          <w:tcPr>
            <w:tcW w:type="dxa" w:w="1080"/>
          </w:tcPr>
          <w:p>
            <w:r>
              <w:t>(any)</w:t>
            </w:r>
          </w:p>
        </w:tc>
        <w:tc>
          <w:tcPr>
            <w:tcW w:type="dxa" w:w="1080"/>
          </w:tcPr>
          <w:p>
            <w:r>
              <w:t>(any)</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PCClock</w:t>
            </w:r>
          </w:p>
        </w:tc>
        <w:tc>
          <w:tcPr>
            <w:tcW w:type="dxa" w:w="1080"/>
          </w:tcPr>
          <w:p>
            <w:r>
              <w:t>(any)</w:t>
            </w:r>
          </w:p>
        </w:tc>
        <w:tc>
          <w:tcPr>
            <w:tcW w:type="dxa" w:w="1080"/>
          </w:tcPr>
          <w:p>
            <w:r>
              <w:t>(any)</w:t>
            </w:r>
          </w:p>
        </w:tc>
        <w:tc>
          <w:tcPr>
            <w:tcW w:type="dxa" w:w="1080"/>
          </w:tcPr>
          <w:p>
            <w:r>
              <w:t>1</w:t>
            </w:r>
          </w:p>
        </w:tc>
        <w:tc>
          <w:tcPr>
            <w:tcW w:type="dxa" w:w="1080"/>
          </w:tcPr>
          <w:p>
            <w:r/>
          </w:p>
        </w:tc>
        <w:tc>
          <w:tcPr>
            <w:tcW w:type="dxa" w:w="1080"/>
          </w:tcPr>
          <w:p>
            <w:r/>
          </w:p>
        </w:tc>
        <w:tc>
          <w:tcPr>
            <w:tcW w:type="dxa" w:w="1080"/>
          </w:tcPr>
          <w:p>
            <w:r/>
          </w:p>
        </w:tc>
        <w:tc>
          <w:tcPr>
            <w:tcW w:type="dxa" w:w="1080"/>
          </w:tcPr>
          <w:p>
            <w:r/>
          </w:p>
        </w:tc>
      </w:tr>
      <w:tr>
        <w:tc>
          <w:tcPr>
            <w:tcW w:type="dxa" w:w="1080"/>
          </w:tcPr>
          <w:p>
            <w:r>
              <w:t>PhenoAge</w:t>
            </w:r>
          </w:p>
        </w:tc>
        <w:tc>
          <w:tcPr>
            <w:tcW w:type="dxa" w:w="1080"/>
          </w:tcPr>
          <w:p>
            <w:r>
              <w:t>(any)</w:t>
            </w:r>
          </w:p>
        </w:tc>
        <w:tc>
          <w:tcPr>
            <w:tcW w:type="dxa" w:w="1080"/>
          </w:tcPr>
          <w:p>
            <w:r>
              <w:t>(any)</w:t>
            </w:r>
          </w:p>
        </w:tc>
        <w:tc>
          <w:tcPr>
            <w:tcW w:type="dxa" w:w="1080"/>
          </w:tcPr>
          <w:p>
            <w:r>
              <w:t>1</w:t>
            </w:r>
          </w:p>
        </w:tc>
        <w:tc>
          <w:tcPr>
            <w:tcW w:type="dxa" w:w="1080"/>
          </w:tcPr>
          <w:p>
            <w:r/>
          </w:p>
        </w:tc>
        <w:tc>
          <w:tcPr>
            <w:tcW w:type="dxa" w:w="1080"/>
          </w:tcPr>
          <w:p>
            <w:r/>
          </w:p>
        </w:tc>
        <w:tc>
          <w:tcPr>
            <w:tcW w:type="dxa" w:w="1080"/>
          </w:tcPr>
          <w:p>
            <w:r/>
          </w:p>
        </w:tc>
        <w:tc>
          <w:tcPr>
            <w:tcW w:type="dxa" w:w="1080"/>
          </w:tcPr>
          <w:p>
            <w:r/>
          </w:p>
        </w:tc>
      </w:tr>
    </w:tbl>
    <w:p>
      <w:pPr>
        <w:pStyle w:val="Heading1"/>
      </w:pPr>
      <w:r>
        <w:t>S6. NMA gate (not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clock</w:t>
            </w:r>
          </w:p>
        </w:tc>
        <w:tc>
          <w:tcPr>
            <w:tcW w:type="dxa" w:w="2160"/>
          </w:tcPr>
          <w:p>
            <w:r>
              <w:t>k</w:t>
            </w:r>
          </w:p>
        </w:tc>
        <w:tc>
          <w:tcPr>
            <w:tcW w:type="dxa" w:w="2160"/>
          </w:tcPr>
          <w:p>
            <w:r>
              <w:t>nma_performed</w:t>
            </w:r>
          </w:p>
        </w:tc>
        <w:tc>
          <w:tcPr>
            <w:tcW w:type="dxa" w:w="2160"/>
          </w:tcPr>
          <w:p>
            <w:r>
              <w:t>reason</w:t>
            </w:r>
          </w:p>
        </w:tc>
      </w:tr>
      <w:tr>
        <w:tc>
          <w:tcPr>
            <w:tcW w:type="dxa" w:w="2160"/>
          </w:tcPr>
          <w:p>
            <w:r>
              <w:t>DunedinPACE</w:t>
            </w:r>
          </w:p>
        </w:tc>
        <w:tc>
          <w:tcPr>
            <w:tcW w:type="dxa" w:w="2160"/>
          </w:tcPr>
          <w:p>
            <w:r>
              <w:t>3</w:t>
            </w:r>
          </w:p>
        </w:tc>
        <w:tc>
          <w:tcPr>
            <w:tcW w:type="dxa" w:w="2160"/>
          </w:tcPr>
          <w:p>
            <w:r>
              <w:t>no</w:t>
            </w:r>
          </w:p>
        </w:tc>
        <w:tc>
          <w:tcPr>
            <w:tcW w:type="dxa" w:w="2160"/>
          </w:tcPr>
          <w:p>
            <w:r>
              <w:t>k=3 &lt; 10; below NMA threshold</w:t>
            </w:r>
          </w:p>
        </w:tc>
      </w:tr>
      <w:tr>
        <w:tc>
          <w:tcPr>
            <w:tcW w:type="dxa" w:w="2160"/>
          </w:tcPr>
          <w:p>
            <w:r>
              <w:t>GrimAge</w:t>
            </w:r>
          </w:p>
        </w:tc>
        <w:tc>
          <w:tcPr>
            <w:tcW w:type="dxa" w:w="2160"/>
          </w:tcPr>
          <w:p>
            <w:r>
              <w:t>2</w:t>
            </w:r>
          </w:p>
        </w:tc>
        <w:tc>
          <w:tcPr>
            <w:tcW w:type="dxa" w:w="2160"/>
          </w:tcPr>
          <w:p>
            <w:r>
              <w:t>no</w:t>
            </w:r>
          </w:p>
        </w:tc>
        <w:tc>
          <w:tcPr>
            <w:tcW w:type="dxa" w:w="2160"/>
          </w:tcPr>
          <w:p>
            <w:r>
              <w:t>k=2 &lt; 10; below NMA threshold</w:t>
            </w:r>
          </w:p>
        </w:tc>
      </w:tr>
      <w:tr>
        <w:tc>
          <w:tcPr>
            <w:tcW w:type="dxa" w:w="2160"/>
          </w:tcPr>
          <w:p>
            <w:r>
              <w:t>GrimAge2</w:t>
            </w:r>
          </w:p>
        </w:tc>
        <w:tc>
          <w:tcPr>
            <w:tcW w:type="dxa" w:w="2160"/>
          </w:tcPr>
          <w:p>
            <w:r>
              <w:t>1</w:t>
            </w:r>
          </w:p>
        </w:tc>
        <w:tc>
          <w:tcPr>
            <w:tcW w:type="dxa" w:w="2160"/>
          </w:tcPr>
          <w:p>
            <w:r>
              <w:t>no</w:t>
            </w:r>
          </w:p>
        </w:tc>
        <w:tc>
          <w:tcPr>
            <w:tcW w:type="dxa" w:w="2160"/>
          </w:tcPr>
          <w:p>
            <w:r>
              <w:t>k=1 &lt; 10; below NMA threshold</w:t>
            </w:r>
          </w:p>
        </w:tc>
      </w:tr>
      <w:tr>
        <w:tc>
          <w:tcPr>
            <w:tcW w:type="dxa" w:w="2160"/>
          </w:tcPr>
          <w:p>
            <w:r>
              <w:t>PhenoAge</w:t>
            </w:r>
          </w:p>
        </w:tc>
        <w:tc>
          <w:tcPr>
            <w:tcW w:type="dxa" w:w="2160"/>
          </w:tcPr>
          <w:p>
            <w:r>
              <w:t>1</w:t>
            </w:r>
          </w:p>
        </w:tc>
        <w:tc>
          <w:tcPr>
            <w:tcW w:type="dxa" w:w="2160"/>
          </w:tcPr>
          <w:p>
            <w:r>
              <w:t>no</w:t>
            </w:r>
          </w:p>
        </w:tc>
        <w:tc>
          <w:tcPr>
            <w:tcW w:type="dxa" w:w="2160"/>
          </w:tcPr>
          <w:p>
            <w:r>
              <w:t>k=1 &lt; 10; below NMA threshold</w:t>
            </w:r>
          </w:p>
        </w:tc>
      </w:tr>
      <w:tr>
        <w:tc>
          <w:tcPr>
            <w:tcW w:type="dxa" w:w="2160"/>
          </w:tcPr>
          <w:p>
            <w:r>
              <w:t>Horvath</w:t>
            </w:r>
          </w:p>
        </w:tc>
        <w:tc>
          <w:tcPr>
            <w:tcW w:type="dxa" w:w="2160"/>
          </w:tcPr>
          <w:p>
            <w:r>
              <w:t>0</w:t>
            </w:r>
          </w:p>
        </w:tc>
        <w:tc>
          <w:tcPr>
            <w:tcW w:type="dxa" w:w="2160"/>
          </w:tcPr>
          <w:p>
            <w:r>
              <w:t>no</w:t>
            </w:r>
          </w:p>
        </w:tc>
        <w:tc>
          <w:tcPr>
            <w:tcW w:type="dxa" w:w="2160"/>
          </w:tcPr>
          <w:p>
            <w:r>
              <w:t>k=0 &lt; 10; below NMA threshold</w:t>
            </w:r>
          </w:p>
        </w:tc>
      </w:tr>
      <w:tr>
        <w:tc>
          <w:tcPr>
            <w:tcW w:type="dxa" w:w="2160"/>
          </w:tcPr>
          <w:p>
            <w:r>
              <w:t>Hannum</w:t>
            </w:r>
          </w:p>
        </w:tc>
        <w:tc>
          <w:tcPr>
            <w:tcW w:type="dxa" w:w="2160"/>
          </w:tcPr>
          <w:p>
            <w:r>
              <w:t>0</w:t>
            </w:r>
          </w:p>
        </w:tc>
        <w:tc>
          <w:tcPr>
            <w:tcW w:type="dxa" w:w="2160"/>
          </w:tcPr>
          <w:p>
            <w:r>
              <w:t>no</w:t>
            </w:r>
          </w:p>
        </w:tc>
        <w:tc>
          <w:tcPr>
            <w:tcW w:type="dxa" w:w="2160"/>
          </w:tcPr>
          <w:p>
            <w:r>
              <w:t>k=0 &lt; 10; below NMA threshold</w:t>
            </w:r>
          </w:p>
        </w:tc>
      </w:tr>
      <w:tr>
        <w:tc>
          <w:tcPr>
            <w:tcW w:type="dxa" w:w="2160"/>
          </w:tcPr>
          <w:p>
            <w:r>
              <w:t>PCClock</w:t>
            </w:r>
          </w:p>
        </w:tc>
        <w:tc>
          <w:tcPr>
            <w:tcW w:type="dxa" w:w="2160"/>
          </w:tcPr>
          <w:p>
            <w:r>
              <w:t>1</w:t>
            </w:r>
          </w:p>
        </w:tc>
        <w:tc>
          <w:tcPr>
            <w:tcW w:type="dxa" w:w="2160"/>
          </w:tcPr>
          <w:p>
            <w:r>
              <w:t>no</w:t>
            </w:r>
          </w:p>
        </w:tc>
        <w:tc>
          <w:tcPr>
            <w:tcW w:type="dxa" w:w="2160"/>
          </w:tcPr>
          <w:p>
            <w:r>
              <w:t>k=1 &lt; 10; below NMA threshold</w:t>
            </w:r>
          </w:p>
        </w:tc>
      </w:tr>
      <w:tr>
        <w:tc>
          <w:tcPr>
            <w:tcW w:type="dxa" w:w="2160"/>
          </w:tcPr>
          <w:p>
            <w:r>
              <w:t>DNAmTL</w:t>
            </w:r>
          </w:p>
        </w:tc>
        <w:tc>
          <w:tcPr>
            <w:tcW w:type="dxa" w:w="2160"/>
          </w:tcPr>
          <w:p>
            <w:r>
              <w:t>0</w:t>
            </w:r>
          </w:p>
        </w:tc>
        <w:tc>
          <w:tcPr>
            <w:tcW w:type="dxa" w:w="2160"/>
          </w:tcPr>
          <w:p>
            <w:r>
              <w:t>no</w:t>
            </w:r>
          </w:p>
        </w:tc>
        <w:tc>
          <w:tcPr>
            <w:tcW w:type="dxa" w:w="2160"/>
          </w:tcPr>
          <w:p>
            <w:r>
              <w:t>k=0 &lt; 10; below NMA threshold</w:t>
            </w:r>
          </w:p>
        </w:tc>
      </w:tr>
    </w:tbl>
    <w:p>
      <w:pPr>
        <w:pStyle w:val="Heading1"/>
      </w:pPr>
      <w:r>
        <w:t>S7. Sensitivity (leave-one-out + restrictions)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clock</w:t>
            </w:r>
          </w:p>
        </w:tc>
        <w:tc>
          <w:tcPr>
            <w:tcW w:type="dxa" w:w="1080"/>
          </w:tcPr>
          <w:p>
            <w:r>
              <w:t>analysis</w:t>
            </w:r>
          </w:p>
        </w:tc>
        <w:tc>
          <w:tcPr>
            <w:tcW w:type="dxa" w:w="1080"/>
          </w:tcPr>
          <w:p>
            <w:r>
              <w:t>k</w:t>
            </w:r>
          </w:p>
        </w:tc>
        <w:tc>
          <w:tcPr>
            <w:tcW w:type="dxa" w:w="1080"/>
          </w:tcPr>
          <w:p>
            <w:r>
              <w:t>mu</w:t>
            </w:r>
          </w:p>
        </w:tc>
        <w:tc>
          <w:tcPr>
            <w:tcW w:type="dxa" w:w="1080"/>
          </w:tcPr>
          <w:p>
            <w:r>
              <w:t>ci_lower</w:t>
            </w:r>
          </w:p>
        </w:tc>
        <w:tc>
          <w:tcPr>
            <w:tcW w:type="dxa" w:w="1080"/>
          </w:tcPr>
          <w:p>
            <w:r>
              <w:t>ci_upper</w:t>
            </w:r>
          </w:p>
        </w:tc>
        <w:tc>
          <w:tcPr>
            <w:tcW w:type="dxa" w:w="1080"/>
          </w:tcPr>
          <w:p>
            <w:r>
              <w:t>status</w:t>
            </w:r>
          </w:p>
        </w:tc>
        <w:tc>
          <w:tcPr>
            <w:tcW w:type="dxa" w:w="1080"/>
          </w:tcPr>
          <w:p>
            <w:r>
              <w:t>reason</w:t>
            </w:r>
          </w:p>
        </w:tc>
      </w:tr>
      <w:tr>
        <w:tc>
          <w:tcPr>
            <w:tcW w:type="dxa" w:w="1080"/>
          </w:tcPr>
          <w:p>
            <w:r>
              <w:t>DunedinPACE</w:t>
            </w:r>
          </w:p>
        </w:tc>
        <w:tc>
          <w:tcPr>
            <w:tcW w:type="dxa" w:w="1080"/>
          </w:tcPr>
          <w:p>
            <w:r>
              <w:t>publication_bias_egger</w:t>
            </w:r>
          </w:p>
        </w:tc>
        <w:tc>
          <w:tcPr>
            <w:tcW w:type="dxa" w:w="1080"/>
          </w:tcPr>
          <w:p>
            <w:r>
              <w:t>3</w:t>
            </w:r>
          </w:p>
        </w:tc>
        <w:tc>
          <w:tcPr>
            <w:tcW w:type="dxa" w:w="1080"/>
          </w:tcPr>
          <w:p>
            <w:r/>
          </w:p>
        </w:tc>
        <w:tc>
          <w:tcPr>
            <w:tcW w:type="dxa" w:w="1080"/>
          </w:tcPr>
          <w:p>
            <w:r/>
          </w:p>
        </w:tc>
        <w:tc>
          <w:tcPr>
            <w:tcW w:type="dxa" w:w="1080"/>
          </w:tcPr>
          <w:p>
            <w:r/>
          </w:p>
        </w:tc>
        <w:tc>
          <w:tcPr>
            <w:tcW w:type="dxa" w:w="1080"/>
          </w:tcPr>
          <w:p>
            <w:r>
              <w:t>gate_failed</w:t>
            </w:r>
          </w:p>
        </w:tc>
        <w:tc>
          <w:tcPr>
            <w:tcW w:type="dxa" w:w="1080"/>
          </w:tcPr>
          <w:p>
            <w:r>
              <w:t>k=3 &lt; 10; pub-bias test not run</w:t>
            </w:r>
          </w:p>
        </w:tc>
      </w:tr>
      <w:tr>
        <w:tc>
          <w:tcPr>
            <w:tcW w:type="dxa" w:w="1080"/>
          </w:tcPr>
          <w:p>
            <w:r>
              <w:t>DunedinPACE</w:t>
            </w:r>
          </w:p>
        </w:tc>
        <w:tc>
          <w:tcPr>
            <w:tcW w:type="dxa" w:w="1080"/>
          </w:tcPr>
          <w:p>
            <w:r>
              <w:t>publication_bias_begg</w:t>
            </w:r>
          </w:p>
        </w:tc>
        <w:tc>
          <w:tcPr>
            <w:tcW w:type="dxa" w:w="1080"/>
          </w:tcPr>
          <w:p>
            <w:r>
              <w:t>3</w:t>
            </w:r>
          </w:p>
        </w:tc>
        <w:tc>
          <w:tcPr>
            <w:tcW w:type="dxa" w:w="1080"/>
          </w:tcPr>
          <w:p>
            <w:r/>
          </w:p>
        </w:tc>
        <w:tc>
          <w:tcPr>
            <w:tcW w:type="dxa" w:w="1080"/>
          </w:tcPr>
          <w:p>
            <w:r/>
          </w:p>
        </w:tc>
        <w:tc>
          <w:tcPr>
            <w:tcW w:type="dxa" w:w="1080"/>
          </w:tcPr>
          <w:p>
            <w:r/>
          </w:p>
        </w:tc>
        <w:tc>
          <w:tcPr>
            <w:tcW w:type="dxa" w:w="1080"/>
          </w:tcPr>
          <w:p>
            <w:r>
              <w:t>gate_failed</w:t>
            </w:r>
          </w:p>
        </w:tc>
        <w:tc>
          <w:tcPr>
            <w:tcW w:type="dxa" w:w="1080"/>
          </w:tcPr>
          <w:p>
            <w:r>
              <w:t>k=3 &lt; 10; pub-bias test not run</w:t>
            </w:r>
          </w:p>
        </w:tc>
      </w:tr>
      <w:tr>
        <w:tc>
          <w:tcPr>
            <w:tcW w:type="dxa" w:w="1080"/>
          </w:tcPr>
          <w:p>
            <w:r>
              <w:t>DunedinPACE</w:t>
            </w:r>
          </w:p>
        </w:tc>
        <w:tc>
          <w:tcPr>
            <w:tcW w:type="dxa" w:w="1080"/>
          </w:tcPr>
          <w:p>
            <w:r>
              <w:t>pet_peese</w:t>
            </w:r>
          </w:p>
        </w:tc>
        <w:tc>
          <w:tcPr>
            <w:tcW w:type="dxa" w:w="1080"/>
          </w:tcPr>
          <w:p>
            <w:r>
              <w:t>3</w:t>
            </w:r>
          </w:p>
        </w:tc>
        <w:tc>
          <w:tcPr>
            <w:tcW w:type="dxa" w:w="1080"/>
          </w:tcPr>
          <w:p>
            <w:r/>
          </w:p>
        </w:tc>
        <w:tc>
          <w:tcPr>
            <w:tcW w:type="dxa" w:w="1080"/>
          </w:tcPr>
          <w:p>
            <w:r/>
          </w:p>
        </w:tc>
        <w:tc>
          <w:tcPr>
            <w:tcW w:type="dxa" w:w="1080"/>
          </w:tcPr>
          <w:p>
            <w:r/>
          </w:p>
        </w:tc>
        <w:tc>
          <w:tcPr>
            <w:tcW w:type="dxa" w:w="1080"/>
          </w:tcPr>
          <w:p>
            <w:r>
              <w:t>gate_failed</w:t>
            </w:r>
          </w:p>
        </w:tc>
        <w:tc>
          <w:tcPr>
            <w:tcW w:type="dxa" w:w="1080"/>
          </w:tcPr>
          <w:p>
            <w:r>
              <w:t>k=3 &lt; 10; pub-bias test not run</w:t>
            </w:r>
          </w:p>
        </w:tc>
      </w:tr>
      <w:tr>
        <w:tc>
          <w:tcPr>
            <w:tcW w:type="dxa" w:w="1080"/>
          </w:tcPr>
          <w:p>
            <w:r>
              <w:t>DunedinPACE</w:t>
            </w:r>
          </w:p>
        </w:tc>
        <w:tc>
          <w:tcPr>
            <w:tcW w:type="dxa" w:w="1080"/>
          </w:tcPr>
          <w:p>
            <w:r>
              <w:t>leave_one_out:drop=ChapnickM_2025_d1605d</w:t>
            </w:r>
          </w:p>
        </w:tc>
        <w:tc>
          <w:tcPr>
            <w:tcW w:type="dxa" w:w="1080"/>
          </w:tcPr>
          <w:p>
            <w:r>
              <w:t>2</w:t>
            </w:r>
          </w:p>
        </w:tc>
        <w:tc>
          <w:tcPr>
            <w:tcW w:type="dxa" w:w="1080"/>
          </w:tcPr>
          <w:p>
            <w:r>
              <w:t>0.0830114645213617</w:t>
            </w:r>
          </w:p>
        </w:tc>
        <w:tc>
          <w:tcPr>
            <w:tcW w:type="dxa" w:w="1080"/>
          </w:tcPr>
          <w:p>
            <w:r>
              <w:t>-0.2878969264954192</w:t>
            </w:r>
          </w:p>
        </w:tc>
        <w:tc>
          <w:tcPr>
            <w:tcW w:type="dxa" w:w="1080"/>
          </w:tcPr>
          <w:p>
            <w:r>
              <w:t>0.4539198555381427</w:t>
            </w:r>
          </w:p>
        </w:tc>
        <w:tc>
          <w:tcPr>
            <w:tcW w:type="dxa" w:w="1080"/>
          </w:tcPr>
          <w:p>
            <w:r>
              <w:t>performed</w:t>
            </w:r>
          </w:p>
        </w:tc>
        <w:tc>
          <w:tcPr>
            <w:tcW w:type="dxa" w:w="1080"/>
          </w:tcPr>
          <w:p>
            <w:r>
              <w:t>DL refit excluding ChapnickM_2025_d1605d; I2=89.0</w:t>
            </w:r>
          </w:p>
        </w:tc>
      </w:tr>
      <w:tr>
        <w:tc>
          <w:tcPr>
            <w:tcW w:type="dxa" w:w="1080"/>
          </w:tcPr>
          <w:p>
            <w:r>
              <w:t>DunedinPACE</w:t>
            </w:r>
          </w:p>
        </w:tc>
        <w:tc>
          <w:tcPr>
            <w:tcW w:type="dxa" w:w="1080"/>
          </w:tcPr>
          <w:p>
            <w:r>
              <w:t>leave_one_out:drop=CorleyMJ_2025_ad19fa</w:t>
            </w:r>
          </w:p>
        </w:tc>
        <w:tc>
          <w:tcPr>
            <w:tcW w:type="dxa" w:w="1080"/>
          </w:tcPr>
          <w:p>
            <w:r>
              <w:t>2</w:t>
            </w:r>
          </w:p>
        </w:tc>
        <w:tc>
          <w:tcPr>
            <w:tcW w:type="dxa" w:w="1080"/>
          </w:tcPr>
          <w:p>
            <w:r>
              <w:t>0.10785712658788</w:t>
            </w:r>
          </w:p>
        </w:tc>
        <w:tc>
          <w:tcPr>
            <w:tcW w:type="dxa" w:w="1080"/>
          </w:tcPr>
          <w:p>
            <w:r>
              <w:t>-0.202725225183984</w:t>
            </w:r>
          </w:p>
        </w:tc>
        <w:tc>
          <w:tcPr>
            <w:tcW w:type="dxa" w:w="1080"/>
          </w:tcPr>
          <w:p>
            <w:r>
              <w:t>0.4184394783597441</w:t>
            </w:r>
          </w:p>
        </w:tc>
        <w:tc>
          <w:tcPr>
            <w:tcW w:type="dxa" w:w="1080"/>
          </w:tcPr>
          <w:p>
            <w:r>
              <w:t>performed</w:t>
            </w:r>
          </w:p>
        </w:tc>
        <w:tc>
          <w:tcPr>
            <w:tcW w:type="dxa" w:w="1080"/>
          </w:tcPr>
          <w:p>
            <w:r>
              <w:t>DL refit excluding CorleyMJ_2025_ad19fa; I2=85.8</w:t>
            </w:r>
          </w:p>
        </w:tc>
      </w:tr>
      <w:tr>
        <w:tc>
          <w:tcPr>
            <w:tcW w:type="dxa" w:w="1080"/>
          </w:tcPr>
          <w:p>
            <w:r>
              <w:t>DunedinPACE</w:t>
            </w:r>
          </w:p>
        </w:tc>
        <w:tc>
          <w:tcPr>
            <w:tcW w:type="dxa" w:w="1080"/>
          </w:tcPr>
          <w:p>
            <w:r>
              <w:t>leave_one_out:drop=MerrillSM_2024_5ee99d</w:t>
            </w:r>
          </w:p>
        </w:tc>
        <w:tc>
          <w:tcPr>
            <w:tcW w:type="dxa" w:w="1080"/>
          </w:tcPr>
          <w:p>
            <w:r>
              <w:t>2</w:t>
            </w:r>
          </w:p>
        </w:tc>
        <w:tc>
          <w:tcPr>
            <w:tcW w:type="dxa" w:w="1080"/>
          </w:tcPr>
          <w:p>
            <w:r>
              <w:t>-0.0494987331667361</w:t>
            </w:r>
          </w:p>
        </w:tc>
        <w:tc>
          <w:tcPr>
            <w:tcW w:type="dxa" w:w="1080"/>
          </w:tcPr>
          <w:p>
            <w:r>
              <w:t>-0.1045786877222252</w:t>
            </w:r>
          </w:p>
        </w:tc>
        <w:tc>
          <w:tcPr>
            <w:tcW w:type="dxa" w:w="1080"/>
          </w:tcPr>
          <w:p>
            <w:r>
              <w:t>0.005581221388753</w:t>
            </w:r>
          </w:p>
        </w:tc>
        <w:tc>
          <w:tcPr>
            <w:tcW w:type="dxa" w:w="1080"/>
          </w:tcPr>
          <w:p>
            <w:r>
              <w:t>performed</w:t>
            </w:r>
          </w:p>
        </w:tc>
        <w:tc>
          <w:tcPr>
            <w:tcW w:type="dxa" w:w="1080"/>
          </w:tcPr>
          <w:p>
            <w:r>
              <w:t>DL refit excluding MerrillSM_2024_5ee99d; I2=53.7</w:t>
            </w:r>
          </w:p>
        </w:tc>
      </w:tr>
      <w:tr>
        <w:tc>
          <w:tcPr>
            <w:tcW w:type="dxa" w:w="1080"/>
          </w:tcPr>
          <w:p>
            <w:r>
              <w:t>DunedinPACE</w:t>
            </w:r>
          </w:p>
        </w:tc>
        <w:tc>
          <w:tcPr>
            <w:tcW w:type="dxa" w:w="1080"/>
          </w:tcPr>
          <w:p>
            <w:r>
              <w:t>restrict_low_rob</w:t>
            </w:r>
          </w:p>
        </w:tc>
        <w:tc>
          <w:tcPr>
            <w:tcW w:type="dxa" w:w="1080"/>
          </w:tcPr>
          <w:p>
            <w:r>
              <w:t>3</w:t>
            </w:r>
          </w:p>
        </w:tc>
        <w:tc>
          <w:tcPr>
            <w:tcW w:type="dxa" w:w="1080"/>
          </w:tcPr>
          <w:p>
            <w:r/>
          </w:p>
        </w:tc>
        <w:tc>
          <w:tcPr>
            <w:tcW w:type="dxa" w:w="1080"/>
          </w:tcPr>
          <w:p>
            <w:r/>
          </w:p>
        </w:tc>
        <w:tc>
          <w:tcPr>
            <w:tcW w:type="dxa" w:w="1080"/>
          </w:tcPr>
          <w:p>
            <w:r/>
          </w:p>
        </w:tc>
        <w:tc>
          <w:tcPr>
            <w:tcW w:type="dxa" w:w="1080"/>
          </w:tcPr>
          <w:p>
            <w:r>
              <w:t>gate_failed_pending_rob</w:t>
            </w:r>
          </w:p>
        </w:tc>
        <w:tc>
          <w:tcPr>
            <w:tcW w:type="dxa" w:w="1080"/>
          </w:tcPr>
          <w:p>
            <w:r>
              <w:t>Dual-coded RoB2 pending; low-RoB-only sensitivity cannot be computed</w:t>
            </w:r>
          </w:p>
        </w:tc>
      </w:tr>
      <w:tr>
        <w:tc>
          <w:tcPr>
            <w:tcW w:type="dxa" w:w="1080"/>
          </w:tcPr>
          <w:p>
            <w:r>
              <w:t>DunedinPACE</w:t>
            </w:r>
          </w:p>
        </w:tc>
        <w:tc>
          <w:tcPr>
            <w:tcW w:type="dxa" w:w="1080"/>
          </w:tcPr>
          <w:p>
            <w:r>
              <w:t>restrict_duration_ge_12wk</w:t>
            </w:r>
          </w:p>
        </w:tc>
        <w:tc>
          <w:tcPr>
            <w:tcW w:type="dxa" w:w="1080"/>
          </w:tcPr>
          <w:p>
            <w:r>
              <w:t>0</w:t>
            </w:r>
          </w:p>
        </w:tc>
        <w:tc>
          <w:tcPr>
            <w:tcW w:type="dxa" w:w="1080"/>
          </w:tcPr>
          <w:p>
            <w:r/>
          </w:p>
        </w:tc>
        <w:tc>
          <w:tcPr>
            <w:tcW w:type="dxa" w:w="1080"/>
          </w:tcPr>
          <w:p>
            <w:r/>
          </w:p>
        </w:tc>
        <w:tc>
          <w:tcPr>
            <w:tcW w:type="dxa" w:w="1080"/>
          </w:tcPr>
          <w:p>
            <w:r/>
          </w:p>
        </w:tc>
        <w:tc>
          <w:tcPr>
            <w:tcW w:type="dxa" w:w="1080"/>
          </w:tcPr>
          <w:p>
            <w:r>
              <w:t>gate_failed</w:t>
            </w:r>
          </w:p>
        </w:tc>
        <w:tc>
          <w:tcPr>
            <w:tcW w:type="dxa" w:w="1080"/>
          </w:tcPr>
          <w:p>
            <w:r>
              <w:t>duration_weeks not extracted; sensitivity not performed</w:t>
            </w:r>
          </w:p>
        </w:tc>
      </w:tr>
      <w:tr>
        <w:tc>
          <w:tcPr>
            <w:tcW w:type="dxa" w:w="1080"/>
          </w:tcPr>
          <w:p>
            <w:r>
              <w:t>GrimAge</w:t>
            </w:r>
          </w:p>
        </w:tc>
        <w:tc>
          <w:tcPr>
            <w:tcW w:type="dxa" w:w="1080"/>
          </w:tcPr>
          <w:p>
            <w:r>
              <w:t>publication_bias_egger</w:t>
            </w:r>
          </w:p>
        </w:tc>
        <w:tc>
          <w:tcPr>
            <w:tcW w:type="dxa" w:w="1080"/>
          </w:tcPr>
          <w:p>
            <w:r>
              <w:t>2</w:t>
            </w:r>
          </w:p>
        </w:tc>
        <w:tc>
          <w:tcPr>
            <w:tcW w:type="dxa" w:w="1080"/>
          </w:tcPr>
          <w:p>
            <w:r/>
          </w:p>
        </w:tc>
        <w:tc>
          <w:tcPr>
            <w:tcW w:type="dxa" w:w="1080"/>
          </w:tcPr>
          <w:p>
            <w:r/>
          </w:p>
        </w:tc>
        <w:tc>
          <w:tcPr>
            <w:tcW w:type="dxa" w:w="1080"/>
          </w:tcPr>
          <w:p>
            <w:r/>
          </w:p>
        </w:tc>
        <w:tc>
          <w:tcPr>
            <w:tcW w:type="dxa" w:w="1080"/>
          </w:tcPr>
          <w:p>
            <w:r>
              <w:t>gate_failed</w:t>
            </w:r>
          </w:p>
        </w:tc>
        <w:tc>
          <w:tcPr>
            <w:tcW w:type="dxa" w:w="1080"/>
          </w:tcPr>
          <w:p>
            <w:r>
              <w:t>k=2 &lt; 10; pub-bias test not run</w:t>
            </w:r>
          </w:p>
        </w:tc>
      </w:tr>
      <w:tr>
        <w:tc>
          <w:tcPr>
            <w:tcW w:type="dxa" w:w="1080"/>
          </w:tcPr>
          <w:p>
            <w:r>
              <w:t>GrimAge</w:t>
            </w:r>
          </w:p>
        </w:tc>
        <w:tc>
          <w:tcPr>
            <w:tcW w:type="dxa" w:w="1080"/>
          </w:tcPr>
          <w:p>
            <w:r>
              <w:t>publication_bias_begg</w:t>
            </w:r>
          </w:p>
        </w:tc>
        <w:tc>
          <w:tcPr>
            <w:tcW w:type="dxa" w:w="1080"/>
          </w:tcPr>
          <w:p>
            <w:r>
              <w:t>2</w:t>
            </w:r>
          </w:p>
        </w:tc>
        <w:tc>
          <w:tcPr>
            <w:tcW w:type="dxa" w:w="1080"/>
          </w:tcPr>
          <w:p>
            <w:r/>
          </w:p>
        </w:tc>
        <w:tc>
          <w:tcPr>
            <w:tcW w:type="dxa" w:w="1080"/>
          </w:tcPr>
          <w:p>
            <w:r/>
          </w:p>
        </w:tc>
        <w:tc>
          <w:tcPr>
            <w:tcW w:type="dxa" w:w="1080"/>
          </w:tcPr>
          <w:p>
            <w:r/>
          </w:p>
        </w:tc>
        <w:tc>
          <w:tcPr>
            <w:tcW w:type="dxa" w:w="1080"/>
          </w:tcPr>
          <w:p>
            <w:r>
              <w:t>gate_failed</w:t>
            </w:r>
          </w:p>
        </w:tc>
        <w:tc>
          <w:tcPr>
            <w:tcW w:type="dxa" w:w="1080"/>
          </w:tcPr>
          <w:p>
            <w:r>
              <w:t>k=2 &lt; 10; pub-bias test not run</w:t>
            </w:r>
          </w:p>
        </w:tc>
      </w:tr>
      <w:tr>
        <w:tc>
          <w:tcPr>
            <w:tcW w:type="dxa" w:w="1080"/>
          </w:tcPr>
          <w:p>
            <w:r>
              <w:t>GrimAge</w:t>
            </w:r>
          </w:p>
        </w:tc>
        <w:tc>
          <w:tcPr>
            <w:tcW w:type="dxa" w:w="1080"/>
          </w:tcPr>
          <w:p>
            <w:r>
              <w:t>pet_peese</w:t>
            </w:r>
          </w:p>
        </w:tc>
        <w:tc>
          <w:tcPr>
            <w:tcW w:type="dxa" w:w="1080"/>
          </w:tcPr>
          <w:p>
            <w:r>
              <w:t>2</w:t>
            </w:r>
          </w:p>
        </w:tc>
        <w:tc>
          <w:tcPr>
            <w:tcW w:type="dxa" w:w="1080"/>
          </w:tcPr>
          <w:p>
            <w:r/>
          </w:p>
        </w:tc>
        <w:tc>
          <w:tcPr>
            <w:tcW w:type="dxa" w:w="1080"/>
          </w:tcPr>
          <w:p>
            <w:r/>
          </w:p>
        </w:tc>
        <w:tc>
          <w:tcPr>
            <w:tcW w:type="dxa" w:w="1080"/>
          </w:tcPr>
          <w:p>
            <w:r/>
          </w:p>
        </w:tc>
        <w:tc>
          <w:tcPr>
            <w:tcW w:type="dxa" w:w="1080"/>
          </w:tcPr>
          <w:p>
            <w:r>
              <w:t>gate_failed</w:t>
            </w:r>
          </w:p>
        </w:tc>
        <w:tc>
          <w:tcPr>
            <w:tcW w:type="dxa" w:w="1080"/>
          </w:tcPr>
          <w:p>
            <w:r>
              <w:t>k=2 &lt; 10; pub-bias test not run</w:t>
            </w:r>
          </w:p>
        </w:tc>
      </w:tr>
      <w:tr>
        <w:tc>
          <w:tcPr>
            <w:tcW w:type="dxa" w:w="1080"/>
          </w:tcPr>
          <w:p>
            <w:r>
              <w:t>GrimAge2</w:t>
            </w:r>
          </w:p>
        </w:tc>
        <w:tc>
          <w:tcPr>
            <w:tcW w:type="dxa" w:w="1080"/>
          </w:tcPr>
          <w:p>
            <w:r>
              <w:t>publication_bias_egger</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GrimAge2</w:t>
            </w:r>
          </w:p>
        </w:tc>
        <w:tc>
          <w:tcPr>
            <w:tcW w:type="dxa" w:w="1080"/>
          </w:tcPr>
          <w:p>
            <w:r>
              <w:t>publication_bias_begg</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GrimAge2</w:t>
            </w:r>
          </w:p>
        </w:tc>
        <w:tc>
          <w:tcPr>
            <w:tcW w:type="dxa" w:w="1080"/>
          </w:tcPr>
          <w:p>
            <w:r>
              <w:t>pet_peese</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PCClock</w:t>
            </w:r>
          </w:p>
        </w:tc>
        <w:tc>
          <w:tcPr>
            <w:tcW w:type="dxa" w:w="1080"/>
          </w:tcPr>
          <w:p>
            <w:r>
              <w:t>publication_bias_egger</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PCClock</w:t>
            </w:r>
          </w:p>
        </w:tc>
        <w:tc>
          <w:tcPr>
            <w:tcW w:type="dxa" w:w="1080"/>
          </w:tcPr>
          <w:p>
            <w:r>
              <w:t>publication_bias_begg</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PCClock</w:t>
            </w:r>
          </w:p>
        </w:tc>
        <w:tc>
          <w:tcPr>
            <w:tcW w:type="dxa" w:w="1080"/>
          </w:tcPr>
          <w:p>
            <w:r>
              <w:t>pet_peese</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PhenoAge</w:t>
            </w:r>
          </w:p>
        </w:tc>
        <w:tc>
          <w:tcPr>
            <w:tcW w:type="dxa" w:w="1080"/>
          </w:tcPr>
          <w:p>
            <w:r>
              <w:t>publication_bias_egger</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PhenoAge</w:t>
            </w:r>
          </w:p>
        </w:tc>
        <w:tc>
          <w:tcPr>
            <w:tcW w:type="dxa" w:w="1080"/>
          </w:tcPr>
          <w:p>
            <w:r>
              <w:t>publication_bias_begg</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r>
        <w:tc>
          <w:tcPr>
            <w:tcW w:type="dxa" w:w="1080"/>
          </w:tcPr>
          <w:p>
            <w:r>
              <w:t>PhenoAge</w:t>
            </w:r>
          </w:p>
        </w:tc>
        <w:tc>
          <w:tcPr>
            <w:tcW w:type="dxa" w:w="1080"/>
          </w:tcPr>
          <w:p>
            <w:r>
              <w:t>pet_peese</w:t>
            </w:r>
          </w:p>
        </w:tc>
        <w:tc>
          <w:tcPr>
            <w:tcW w:type="dxa" w:w="1080"/>
          </w:tcPr>
          <w:p>
            <w:r>
              <w:t>1</w:t>
            </w:r>
          </w:p>
        </w:tc>
        <w:tc>
          <w:tcPr>
            <w:tcW w:type="dxa" w:w="1080"/>
          </w:tcPr>
          <w:p>
            <w:r/>
          </w:p>
        </w:tc>
        <w:tc>
          <w:tcPr>
            <w:tcW w:type="dxa" w:w="1080"/>
          </w:tcPr>
          <w:p>
            <w:r/>
          </w:p>
        </w:tc>
        <w:tc>
          <w:tcPr>
            <w:tcW w:type="dxa" w:w="1080"/>
          </w:tcPr>
          <w:p>
            <w:r/>
          </w:p>
        </w:tc>
        <w:tc>
          <w:tcPr>
            <w:tcW w:type="dxa" w:w="1080"/>
          </w:tcPr>
          <w:p>
            <w:r>
              <w:t>gate_failed</w:t>
            </w:r>
          </w:p>
        </w:tc>
        <w:tc>
          <w:tcPr>
            <w:tcW w:type="dxa" w:w="1080"/>
          </w:tcPr>
          <w:p>
            <w:r>
              <w:t>k=1 &lt; 10; pub-bias test not run</w:t>
            </w:r>
          </w:p>
        </w:tc>
      </w:tr>
    </w:tbl>
    <w:p>
      <w:pPr>
        <w:pStyle w:val="Heading1"/>
      </w:pPr>
      <w:r>
        <w:t>S8. GRADE evidence profile (Path-C)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clock</w:t>
            </w:r>
          </w:p>
        </w:tc>
        <w:tc>
          <w:tcPr>
            <w:tcW w:type="dxa" w:w="1080"/>
          </w:tcPr>
          <w:p>
            <w:r>
              <w:t>k</w:t>
            </w:r>
          </w:p>
        </w:tc>
        <w:tc>
          <w:tcPr>
            <w:tcW w:type="dxa" w:w="1080"/>
          </w:tcPr>
          <w:p>
            <w:r>
              <w:t>start</w:t>
            </w:r>
          </w:p>
        </w:tc>
        <w:tc>
          <w:tcPr>
            <w:tcW w:type="dxa" w:w="1080"/>
          </w:tcPr>
          <w:p>
            <w:r>
              <w:t>rob</w:t>
            </w:r>
          </w:p>
        </w:tc>
        <w:tc>
          <w:tcPr>
            <w:tcW w:type="dxa" w:w="1080"/>
          </w:tcPr>
          <w:p>
            <w:r>
              <w:t>inconsistency</w:t>
            </w:r>
          </w:p>
        </w:tc>
        <w:tc>
          <w:tcPr>
            <w:tcW w:type="dxa" w:w="1080"/>
          </w:tcPr>
          <w:p>
            <w:r>
              <w:t>indirectness</w:t>
            </w:r>
          </w:p>
        </w:tc>
        <w:tc>
          <w:tcPr>
            <w:tcW w:type="dxa" w:w="1080"/>
          </w:tcPr>
          <w:p>
            <w:r>
              <w:t>imprecision</w:t>
            </w:r>
          </w:p>
        </w:tc>
        <w:tc>
          <w:tcPr>
            <w:tcW w:type="dxa" w:w="1080"/>
          </w:tcPr>
          <w:p>
            <w:r>
              <w:t>pubbias</w:t>
            </w:r>
          </w:p>
        </w:tc>
      </w:tr>
      <w:tr>
        <w:tc>
          <w:tcPr>
            <w:tcW w:type="dxa" w:w="1080"/>
          </w:tcPr>
          <w:p>
            <w:r>
              <w:t>DunedinPACE</w:t>
            </w:r>
          </w:p>
        </w:tc>
        <w:tc>
          <w:tcPr>
            <w:tcW w:type="dxa" w:w="1080"/>
          </w:tcPr>
          <w:p>
            <w:r>
              <w:t>3</w:t>
            </w:r>
          </w:p>
        </w:tc>
        <w:tc>
          <w:tcPr>
            <w:tcW w:type="dxa" w:w="1080"/>
          </w:tcPr>
          <w:p>
            <w:r>
              <w:t>High</w:t>
            </w:r>
          </w:p>
        </w:tc>
        <w:tc>
          <w:tcPr>
            <w:tcW w:type="dxa" w:w="1080"/>
          </w:tcPr>
          <w:p>
            <w:r>
              <w:t>Down 1 (RoB dual coding pending; treated as some concerns)</w:t>
            </w:r>
          </w:p>
        </w:tc>
        <w:tc>
          <w:tcPr>
            <w:tcW w:type="dxa" w:w="1080"/>
          </w:tcPr>
          <w:p>
            <w:r>
              <w:t>Down 1 (I²=79% — high)</w:t>
            </w:r>
          </w:p>
        </w:tc>
        <w:tc>
          <w:tcPr>
            <w:tcW w:type="dxa" w:w="1080"/>
          </w:tcPr>
          <w:p>
            <w:r>
              <w:t>Down 1 (heterogeneous interventions / adjustment sets pooled)</w:t>
            </w:r>
          </w:p>
        </w:tc>
        <w:tc>
          <w:tcPr>
            <w:tcW w:type="dxa" w:w="1080"/>
          </w:tcPr>
          <w:p>
            <w:r>
              <w:t>Down 1 (95% CI crosses null with k=3)</w:t>
            </w:r>
          </w:p>
        </w:tc>
        <w:tc>
          <w:tcPr>
            <w:tcW w:type="dxa" w:w="1080"/>
          </w:tcPr>
          <w:p>
            <w:r>
              <w:t>Not downgraded (k&lt;10; cannot be assessed)</w:t>
            </w:r>
          </w:p>
        </w:tc>
      </w:tr>
      <w:tr>
        <w:tc>
          <w:tcPr>
            <w:tcW w:type="dxa" w:w="1080"/>
          </w:tcPr>
          <w:p>
            <w:r>
              <w:t>GrimAge</w:t>
            </w:r>
          </w:p>
        </w:tc>
        <w:tc>
          <w:tcPr>
            <w:tcW w:type="dxa" w:w="1080"/>
          </w:tcPr>
          <w:p>
            <w:r>
              <w:t>2</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GrimAge2</w:t>
            </w:r>
          </w:p>
        </w:tc>
        <w:tc>
          <w:tcPr>
            <w:tcW w:type="dxa" w:w="1080"/>
          </w:tcPr>
          <w:p>
            <w:r>
              <w:t>1</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PhenoAge</w:t>
            </w:r>
          </w:p>
        </w:tc>
        <w:tc>
          <w:tcPr>
            <w:tcW w:type="dxa" w:w="1080"/>
          </w:tcPr>
          <w:p>
            <w:r>
              <w:t>1</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Horvath</w:t>
            </w:r>
          </w:p>
        </w:tc>
        <w:tc>
          <w:tcPr>
            <w:tcW w:type="dxa" w:w="1080"/>
          </w:tcPr>
          <w:p>
            <w:r>
              <w:t>0</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Hannum</w:t>
            </w:r>
          </w:p>
        </w:tc>
        <w:tc>
          <w:tcPr>
            <w:tcW w:type="dxa" w:w="1080"/>
          </w:tcPr>
          <w:p>
            <w:r>
              <w:t>0</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PCClock</w:t>
            </w:r>
          </w:p>
        </w:tc>
        <w:tc>
          <w:tcPr>
            <w:tcW w:type="dxa" w:w="1080"/>
          </w:tcPr>
          <w:p>
            <w:r>
              <w:t>1</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DNAmTL</w:t>
            </w:r>
          </w:p>
        </w:tc>
        <w:tc>
          <w:tcPr>
            <w:tcW w:type="dxa" w:w="1080"/>
          </w:tcPr>
          <w:p>
            <w:r>
              <w:t>0</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S9. Relaxed eligibility audit (Path-C amendments)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study_id</w:t>
            </w:r>
          </w:p>
        </w:tc>
        <w:tc>
          <w:tcPr>
            <w:tcW w:type="dxa" w:w="1080"/>
          </w:tcPr>
          <w:p>
            <w:r>
              <w:t>title</w:t>
            </w:r>
          </w:p>
        </w:tc>
        <w:tc>
          <w:tcPr>
            <w:tcW w:type="dxa" w:w="1080"/>
          </w:tcPr>
          <w:p>
            <w:r>
              <w:t>year</w:t>
            </w:r>
          </w:p>
        </w:tc>
        <w:tc>
          <w:tcPr>
            <w:tcW w:type="dxa" w:w="1080"/>
          </w:tcPr>
          <w:p>
            <w:r>
              <w:t>doi</w:t>
            </w:r>
          </w:p>
        </w:tc>
        <w:tc>
          <w:tcPr>
            <w:tcW w:type="dxa" w:w="1080"/>
          </w:tcPr>
          <w:p>
            <w:r>
              <w:t>pmid</w:t>
            </w:r>
          </w:p>
        </w:tc>
        <w:tc>
          <w:tcPr>
            <w:tcW w:type="dxa" w:w="1080"/>
          </w:tcPr>
          <w:p>
            <w:r>
              <w:t>local_fulltext_path</w:t>
            </w:r>
          </w:p>
        </w:tc>
        <w:tc>
          <w:tcPr>
            <w:tcW w:type="dxa" w:w="1080"/>
          </w:tcPr>
          <w:p>
            <w:r>
              <w:t>first_reviewer_fulltext_decision</w:t>
            </w:r>
          </w:p>
        </w:tc>
        <w:tc>
          <w:tcPr>
            <w:tcW w:type="dxa" w:w="1080"/>
          </w:tcPr>
          <w:p>
            <w:r>
              <w:t>first_reviewer_reason</w:t>
            </w:r>
          </w:p>
        </w:tc>
      </w:tr>
      <w:tr>
        <w:tc>
          <w:tcPr>
            <w:tcW w:type="dxa" w:w="1080"/>
          </w:tcPr>
          <w:p>
            <w:r>
              <w:t>OlasoGonzalezG_2026_88c470</w:t>
            </w:r>
          </w:p>
        </w:tc>
        <w:tc>
          <w:tcPr>
            <w:tcW w:type="dxa" w:w="1080"/>
          </w:tcPr>
          <w:p>
            <w:r>
              <w:t>A Multidomain Lifestyle Intervention Is Associated With Improved Functional Trajectories and Favorable Changes in Epigenetic Aging Markers in Frail Older Adults: A Randomized Controlled Trial.</w:t>
            </w:r>
          </w:p>
        </w:tc>
        <w:tc>
          <w:tcPr>
            <w:tcW w:type="dxa" w:w="1080"/>
          </w:tcPr>
          <w:p>
            <w:r>
              <w:t>2026.0</w:t>
            </w:r>
          </w:p>
        </w:tc>
        <w:tc>
          <w:tcPr>
            <w:tcW w:type="dxa" w:w="1080"/>
          </w:tcPr>
          <w:p>
            <w:r>
              <w:t>10.1111/acel.70376</w:t>
            </w:r>
          </w:p>
        </w:tc>
        <w:tc>
          <w:tcPr>
            <w:tcW w:type="dxa" w:w="1080"/>
          </w:tcPr>
          <w:p>
            <w:r>
              <w:t>41677077.0</w:t>
            </w:r>
          </w:p>
        </w:tc>
        <w:tc>
          <w:tcPr>
            <w:tcW w:type="dxa" w:w="1080"/>
          </w:tcPr>
          <w:p>
            <w:r>
              <w:t>D:\Anti ageing research\anti_ageing_review\meta_dnam_clocks\data\raw\fulltext\OlasoGonzalezG_2026_88c470.xml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LinS_2025_c63679</w:t>
            </w:r>
          </w:p>
        </w:tc>
        <w:tc>
          <w:tcPr>
            <w:tcW w:type="dxa" w:w="1080"/>
          </w:tcPr>
          <w:p>
            <w:r>
              <w:t>Multidomain intervention for delaying aging in community-dwelling older adults (MIDA): study design and protocol.</w:t>
            </w:r>
          </w:p>
        </w:tc>
        <w:tc>
          <w:tcPr>
            <w:tcW w:type="dxa" w:w="1080"/>
          </w:tcPr>
          <w:p>
            <w:r>
              <w:t>2025.0</w:t>
            </w:r>
          </w:p>
        </w:tc>
        <w:tc>
          <w:tcPr>
            <w:tcW w:type="dxa" w:w="1080"/>
          </w:tcPr>
          <w:p>
            <w:r>
              <w:t>10.1080/07853890.2025.2496409</w:t>
            </w:r>
          </w:p>
        </w:tc>
        <w:tc>
          <w:tcPr>
            <w:tcW w:type="dxa" w:w="1080"/>
          </w:tcPr>
          <w:p>
            <w:r>
              <w:t>40297922.0</w:t>
            </w:r>
          </w:p>
        </w:tc>
        <w:tc>
          <w:tcPr>
            <w:tcW w:type="dxa" w:w="1080"/>
          </w:tcPr>
          <w:p>
            <w:r>
              <w:t>D:\Anti ageing research\anti_ageing_review\meta_dnam_clocks\data\raw\fulltext\LinS_2025_c63679.xml</w:t>
            </w:r>
          </w:p>
        </w:tc>
        <w:tc>
          <w:tcPr>
            <w:tcW w:type="dxa" w:w="1080"/>
          </w:tcPr>
          <w:p>
            <w:r>
              <w:t>exclude_fulltext</w:t>
            </w:r>
          </w:p>
        </w:tc>
        <w:tc>
          <w:tcPr>
            <w:tcW w:type="dxa" w:w="1080"/>
          </w:tcPr>
          <w:p>
            <w:r>
              <w:t>Protocol/design/baseline-only/conference signal</w:t>
            </w:r>
          </w:p>
        </w:tc>
      </w:tr>
      <w:tr>
        <w:tc>
          <w:tcPr>
            <w:tcW w:type="dxa" w:w="1080"/>
          </w:tcPr>
          <w:p>
            <w:r>
              <w:t>ChapnickM_2025_d1605d</w:t>
            </w:r>
          </w:p>
        </w:tc>
        <w:tc>
          <w:tcPr>
            <w:tcW w:type="dxa" w:w="1080"/>
          </w:tcPr>
          <w:p>
            <w:r>
              <w:t>Early-life nutrition supplementation and epigenetic age in middle-adulthood among Guatemalan adults</w:t>
            </w:r>
          </w:p>
        </w:tc>
        <w:tc>
          <w:tcPr>
            <w:tcW w:type="dxa" w:w="1080"/>
          </w:tcPr>
          <w:p>
            <w:r>
              <w:t>2025.0</w:t>
            </w:r>
          </w:p>
        </w:tc>
        <w:tc>
          <w:tcPr>
            <w:tcW w:type="dxa" w:w="1080"/>
          </w:tcPr>
          <w:p>
            <w:r>
              <w:t>10.1101/2025.09.25.678652</w:t>
            </w:r>
          </w:p>
        </w:tc>
        <w:tc>
          <w:tcPr>
            <w:tcW w:type="dxa" w:w="1080"/>
          </w:tcPr>
          <w:p>
            <w:r/>
          </w:p>
        </w:tc>
        <w:tc>
          <w:tcPr>
            <w:tcW w:type="dxa" w:w="1080"/>
          </w:tcPr>
          <w:p>
            <w:r>
              <w:t>D:\Anti ageing research\anti_ageing_review\meta_dnam_clocks\data\raw\fulltext\ChapnickM_2025_d1605d.html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StanfieldB_2026_967335</w:t>
            </w:r>
          </w:p>
        </w:tc>
        <w:tc>
          <w:tcPr>
            <w:tcW w:type="dxa" w:w="1080"/>
          </w:tcPr>
          <w:p>
            <w:r>
              <w:t>Exercise and Weekly Sirolimus (Rapamycin) in Older Adults: RAPA-EX-01 Randomised, Double-Blind, Placebo-Controlled Trial.</w:t>
            </w:r>
          </w:p>
        </w:tc>
        <w:tc>
          <w:tcPr>
            <w:tcW w:type="dxa" w:w="1080"/>
          </w:tcPr>
          <w:p>
            <w:r>
              <w:t>2026.0</w:t>
            </w:r>
          </w:p>
        </w:tc>
        <w:tc>
          <w:tcPr>
            <w:tcW w:type="dxa" w:w="1080"/>
          </w:tcPr>
          <w:p>
            <w:r>
              <w:t>10.1002/jcsm.70274</w:t>
            </w:r>
          </w:p>
        </w:tc>
        <w:tc>
          <w:tcPr>
            <w:tcW w:type="dxa" w:w="1080"/>
          </w:tcPr>
          <w:p>
            <w:r>
              <w:t>41985884.0</w:t>
            </w:r>
          </w:p>
        </w:tc>
        <w:tc>
          <w:tcPr>
            <w:tcW w:type="dxa" w:w="1080"/>
          </w:tcPr>
          <w:p>
            <w:r>
              <w:t>D:\Anti ageing research\anti_ageing_review\meta_dnam_clocks\data\raw\fulltext\StanfieldB_2026_967335.xml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BozackAK_2025_7aa71b</w:t>
            </w:r>
          </w:p>
        </w:tc>
        <w:tc>
          <w:tcPr>
            <w:tcW w:type="dxa" w:w="1080"/>
          </w:tcPr>
          <w:p>
            <w:r>
              <w:t>Dietary fatty acids and epigenetic aging in US adults: results from the National Health and Nutrition Examination Survey.</w:t>
            </w:r>
          </w:p>
        </w:tc>
        <w:tc>
          <w:tcPr>
            <w:tcW w:type="dxa" w:w="1080"/>
          </w:tcPr>
          <w:p>
            <w:r>
              <w:t>2025.0</w:t>
            </w:r>
          </w:p>
        </w:tc>
        <w:tc>
          <w:tcPr>
            <w:tcW w:type="dxa" w:w="1080"/>
          </w:tcPr>
          <w:p>
            <w:r>
              <w:t>10.1038/s41514-025-00298-x</w:t>
            </w:r>
          </w:p>
        </w:tc>
        <w:tc>
          <w:tcPr>
            <w:tcW w:type="dxa" w:w="1080"/>
          </w:tcPr>
          <w:p>
            <w:r>
              <w:t>41354984.0</w:t>
            </w:r>
          </w:p>
        </w:tc>
        <w:tc>
          <w:tcPr>
            <w:tcW w:type="dxa" w:w="1080"/>
          </w:tcPr>
          <w:p>
            <w:r>
              <w:t>D:\Anti ageing research\anti_ageing_review\meta_dnam_clocks\data\raw\fulltext\BozackAK_2025_7aa71b.xml</w:t>
            </w:r>
          </w:p>
        </w:tc>
        <w:tc>
          <w:tcPr>
            <w:tcW w:type="dxa" w:w="1080"/>
          </w:tcPr>
          <w:p>
            <w:r>
              <w:t>exclude_fulltext</w:t>
            </w:r>
          </w:p>
        </w:tc>
        <w:tc>
          <w:tcPr>
            <w:tcW w:type="dxa" w:w="1080"/>
          </w:tcPr>
          <w:p>
            <w:r>
              <w:t>Observational/association title-abstract signal</w:t>
            </w:r>
          </w:p>
        </w:tc>
      </w:tr>
      <w:tr>
        <w:tc>
          <w:tcPr>
            <w:tcW w:type="dxa" w:w="1080"/>
          </w:tcPr>
          <w:p>
            <w:r>
              <w:t>RobinsonLA_2026_d1a7b4</w:t>
            </w:r>
          </w:p>
        </w:tc>
        <w:tc>
          <w:tcPr>
            <w:tcW w:type="dxa" w:w="1080"/>
          </w:tcPr>
          <w:p>
            <w:r>
              <w:t>Epigenetic and microbiome responses to greens supplementation in obese older adults: results from a randomized crossover-controlled trial.</w:t>
            </w:r>
          </w:p>
        </w:tc>
        <w:tc>
          <w:tcPr>
            <w:tcW w:type="dxa" w:w="1080"/>
          </w:tcPr>
          <w:p>
            <w:r>
              <w:t>2026.0</w:t>
            </w:r>
          </w:p>
        </w:tc>
        <w:tc>
          <w:tcPr>
            <w:tcW w:type="dxa" w:w="1080"/>
          </w:tcPr>
          <w:p>
            <w:r>
              <w:t>10.3389/fnut.2026.1750030</w:t>
            </w:r>
          </w:p>
        </w:tc>
        <w:tc>
          <w:tcPr>
            <w:tcW w:type="dxa" w:w="1080"/>
          </w:tcPr>
          <w:p>
            <w:r>
              <w:t>41717034.0</w:t>
            </w:r>
          </w:p>
        </w:tc>
        <w:tc>
          <w:tcPr>
            <w:tcW w:type="dxa" w:w="1080"/>
          </w:tcPr>
          <w:p>
            <w:r>
              <w:t>D:\Anti ageing research\anti_ageing_review\meta_dnam_clocks\data\raw\fulltext\RobinsonLA_2026_d1a7b4.xml</w:t>
            </w:r>
          </w:p>
        </w:tc>
        <w:tc>
          <w:tcPr>
            <w:tcW w:type="dxa" w:w="1080"/>
          </w:tcPr>
          <w:p>
            <w:r>
              <w:t>exclude_fulltext</w:t>
            </w:r>
          </w:p>
        </w:tc>
        <w:tc>
          <w:tcPr>
            <w:tcW w:type="dxa" w:w="1080"/>
          </w:tcPr>
          <w:p>
            <w:r>
              <w:t>Observational/association title-abstract signal</w:t>
            </w:r>
          </w:p>
        </w:tc>
      </w:tr>
      <w:tr>
        <w:tc>
          <w:tcPr>
            <w:tcW w:type="dxa" w:w="1080"/>
          </w:tcPr>
          <w:p>
            <w:r>
              <w:t>NwanajiEnweremJC_2024_cd243f</w:t>
            </w:r>
          </w:p>
        </w:tc>
        <w:tc>
          <w:tcPr>
            <w:tcW w:type="dxa" w:w="1080"/>
          </w:tcPr>
          <w:p>
            <w:r>
              <w:t>Bronchial cell epigenetic aging in a human experimental study of short-term diesel and ozone exposures.</w:t>
            </w:r>
          </w:p>
        </w:tc>
        <w:tc>
          <w:tcPr>
            <w:tcW w:type="dxa" w:w="1080"/>
          </w:tcPr>
          <w:p>
            <w:r>
              <w:t>2024.0</w:t>
            </w:r>
          </w:p>
        </w:tc>
        <w:tc>
          <w:tcPr>
            <w:tcW w:type="dxa" w:w="1080"/>
          </w:tcPr>
          <w:p>
            <w:r>
              <w:t>10.1093/eep/dvae017</w:t>
            </w:r>
          </w:p>
        </w:tc>
        <w:tc>
          <w:tcPr>
            <w:tcW w:type="dxa" w:w="1080"/>
          </w:tcPr>
          <w:p>
            <w:r>
              <w:t>39416749.0</w:t>
            </w:r>
          </w:p>
        </w:tc>
        <w:tc>
          <w:tcPr>
            <w:tcW w:type="dxa" w:w="1080"/>
          </w:tcPr>
          <w:p>
            <w:r>
              <w:t>D:\Anti ageing research\anti_ageing_review\meta_dnam_clocks\data\raw\fulltext\NwanajiEnweremJC_2024_cd243f.xml</w:t>
            </w:r>
          </w:p>
        </w:tc>
        <w:tc>
          <w:tcPr>
            <w:tcW w:type="dxa" w:w="1080"/>
          </w:tcPr>
          <w:p>
            <w:r>
              <w:t>exclude_fulltext</w:t>
            </w:r>
          </w:p>
        </w:tc>
        <w:tc>
          <w:tcPr>
            <w:tcW w:type="dxa" w:w="1080"/>
          </w:tcPr>
          <w:p>
            <w:r>
              <w:t>Observational/association title-abstract signal</w:t>
            </w:r>
          </w:p>
        </w:tc>
      </w:tr>
      <w:tr>
        <w:tc>
          <w:tcPr>
            <w:tcW w:type="dxa" w:w="1080"/>
          </w:tcPr>
          <w:p>
            <w:r>
              <w:t>CorleyMJ_2025_ad19fa</w:t>
            </w:r>
          </w:p>
        </w:tc>
        <w:tc>
          <w:tcPr>
            <w:tcW w:type="dxa" w:w="1080"/>
          </w:tcPr>
          <w:p>
            <w:r>
              <w:t>Semaglutide Slows Epigenetic Aging in People with HIV-associated lipohypertrophy: Evidence from a Randomized Controlled Trial</w:t>
            </w:r>
          </w:p>
        </w:tc>
        <w:tc>
          <w:tcPr>
            <w:tcW w:type="dxa" w:w="1080"/>
          </w:tcPr>
          <w:p>
            <w:r>
              <w:t>2025.0</w:t>
            </w:r>
          </w:p>
        </w:tc>
        <w:tc>
          <w:tcPr>
            <w:tcW w:type="dxa" w:w="1080"/>
          </w:tcPr>
          <w:p>
            <w:r>
              <w:t>10.1101/2025.07.09.25331038</w:t>
            </w:r>
          </w:p>
        </w:tc>
        <w:tc>
          <w:tcPr>
            <w:tcW w:type="dxa" w:w="1080"/>
          </w:tcPr>
          <w:p>
            <w:r/>
          </w:p>
        </w:tc>
        <w:tc>
          <w:tcPr>
            <w:tcW w:type="dxa" w:w="1080"/>
          </w:tcPr>
          <w:p>
            <w:r>
              <w:t>D:\Anti ageing research\anti_ageing_review\meta_dnam_clocks\data\raw\fulltext\CorleyMJ_2025_ad19fa.pdf</w:t>
            </w:r>
          </w:p>
        </w:tc>
        <w:tc>
          <w:tcPr>
            <w:tcW w:type="dxa" w:w="1080"/>
          </w:tcPr>
          <w:p>
            <w:r>
              <w:t>exclude_fulltext</w:t>
            </w:r>
          </w:p>
        </w:tc>
        <w:tc>
          <w:tcPr>
            <w:tcW w:type="dxa" w:w="1080"/>
          </w:tcPr>
          <w:p>
            <w:r>
              <w:t>Protocol/design/baseline-only/conference signal</w:t>
            </w:r>
          </w:p>
        </w:tc>
      </w:tr>
      <w:tr>
        <w:tc>
          <w:tcPr>
            <w:tcW w:type="dxa" w:w="1080"/>
          </w:tcPr>
          <w:p>
            <w:r>
              <w:t>RslerW_2026_9ed59d</w:t>
            </w:r>
          </w:p>
        </w:tc>
        <w:tc>
          <w:tcPr>
            <w:tcW w:type="dxa" w:w="1080"/>
          </w:tcPr>
          <w:p>
            <w:r>
              <w:t>Trajectories of physical function and biological aging in generally healthy older adults with and without incident invasive cancer over a three-year follow-up: findings from the DO-HEALTH study.</w:t>
            </w:r>
          </w:p>
        </w:tc>
        <w:tc>
          <w:tcPr>
            <w:tcW w:type="dxa" w:w="1080"/>
          </w:tcPr>
          <w:p>
            <w:r>
              <w:t>2026.0</w:t>
            </w:r>
          </w:p>
        </w:tc>
        <w:tc>
          <w:tcPr>
            <w:tcW w:type="dxa" w:w="1080"/>
          </w:tcPr>
          <w:p>
            <w:r>
              <w:t>10.1038/s41514-026-00360-2</w:t>
            </w:r>
          </w:p>
        </w:tc>
        <w:tc>
          <w:tcPr>
            <w:tcW w:type="dxa" w:w="1080"/>
          </w:tcPr>
          <w:p>
            <w:r>
              <w:t>41872206.0</w:t>
            </w:r>
          </w:p>
        </w:tc>
        <w:tc>
          <w:tcPr>
            <w:tcW w:type="dxa" w:w="1080"/>
          </w:tcPr>
          <w:p>
            <w:r>
              <w:t>D:\Anti ageing research\anti_ageing_review\meta_dnam_clocks\data\raw\fulltext\RslerW_2026_9ed59d.pdf</w:t>
            </w:r>
          </w:p>
        </w:tc>
        <w:tc>
          <w:tcPr>
            <w:tcW w:type="dxa" w:w="1080"/>
          </w:tcPr>
          <w:p>
            <w:r>
              <w:t>exclude_fulltext</w:t>
            </w:r>
          </w:p>
        </w:tc>
        <w:tc>
          <w:tcPr>
            <w:tcW w:type="dxa" w:w="1080"/>
          </w:tcPr>
          <w:p>
            <w:r>
              <w:t>Protocol/design/baseline-only/conference signal</w:t>
            </w:r>
          </w:p>
        </w:tc>
      </w:tr>
      <w:tr>
        <w:tc>
          <w:tcPr>
            <w:tcW w:type="dxa" w:w="1080"/>
          </w:tcPr>
          <w:p>
            <w:r>
              <w:t>BozackAK_2025_90311c</w:t>
            </w:r>
          </w:p>
        </w:tc>
        <w:tc>
          <w:tcPr>
            <w:tcW w:type="dxa" w:w="1080"/>
          </w:tcPr>
          <w:p>
            <w:r>
              <w:t>One-carbon metabolism-related compounds are associated with epigenetic aging biomarkers: results from the cross-sectional National Health and Nutrition Examination Survey 1999-2002.</w:t>
            </w:r>
          </w:p>
        </w:tc>
        <w:tc>
          <w:tcPr>
            <w:tcW w:type="dxa" w:w="1080"/>
          </w:tcPr>
          <w:p>
            <w:r>
              <w:t>2025.0</w:t>
            </w:r>
          </w:p>
        </w:tc>
        <w:tc>
          <w:tcPr>
            <w:tcW w:type="dxa" w:w="1080"/>
          </w:tcPr>
          <w:p>
            <w:r>
              <w:t>10.1016/j.ajcnut.2025.05.029</w:t>
            </w:r>
          </w:p>
        </w:tc>
        <w:tc>
          <w:tcPr>
            <w:tcW w:type="dxa" w:w="1080"/>
          </w:tcPr>
          <w:p>
            <w:r>
              <w:t>40456316.0</w:t>
            </w:r>
          </w:p>
        </w:tc>
        <w:tc>
          <w:tcPr>
            <w:tcW w:type="dxa" w:w="1080"/>
          </w:tcPr>
          <w:p>
            <w:r>
              <w:t>D:\Anti ageing research\anti_ageing_review\meta_dnam_clocks\data\raw\fulltext\BozackAK_2025_90311c.xml</w:t>
            </w:r>
          </w:p>
        </w:tc>
        <w:tc>
          <w:tcPr>
            <w:tcW w:type="dxa" w:w="1080"/>
          </w:tcPr>
          <w:p>
            <w:r>
              <w:t>exclude_fulltext</w:t>
            </w:r>
          </w:p>
        </w:tc>
        <w:tc>
          <w:tcPr>
            <w:tcW w:type="dxa" w:w="1080"/>
          </w:tcPr>
          <w:p>
            <w:r>
              <w:t>Protocol/design/baseline-only/conference signal</w:t>
            </w:r>
          </w:p>
        </w:tc>
      </w:tr>
      <w:tr>
        <w:tc>
          <w:tcPr>
            <w:tcW w:type="dxa" w:w="1080"/>
          </w:tcPr>
          <w:p>
            <w:r>
              <w:t>WaziryR_2023_29b3ce</w:t>
            </w:r>
          </w:p>
        </w:tc>
        <w:tc>
          <w:tcPr>
            <w:tcW w:type="dxa" w:w="1080"/>
          </w:tcPr>
          <w:p>
            <w:r>
              <w:t>Effect of long-term caloric restriction on DNA methylation measures of biological aging in healthy adults from the CALERIE trial.</w:t>
            </w:r>
          </w:p>
        </w:tc>
        <w:tc>
          <w:tcPr>
            <w:tcW w:type="dxa" w:w="1080"/>
          </w:tcPr>
          <w:p>
            <w:r>
              <w:t>2023.0</w:t>
            </w:r>
          </w:p>
        </w:tc>
        <w:tc>
          <w:tcPr>
            <w:tcW w:type="dxa" w:w="1080"/>
          </w:tcPr>
          <w:p>
            <w:r>
              <w:t>10.1038/s43587-022-00357-y</w:t>
            </w:r>
          </w:p>
        </w:tc>
        <w:tc>
          <w:tcPr>
            <w:tcW w:type="dxa" w:w="1080"/>
          </w:tcPr>
          <w:p>
            <w:r>
              <w:t>37118425.0</w:t>
            </w:r>
          </w:p>
        </w:tc>
        <w:tc>
          <w:tcPr>
            <w:tcW w:type="dxa" w:w="1080"/>
          </w:tcPr>
          <w:p>
            <w:r>
              <w:t>D:\Anti ageing research\anti_ageing_review\meta_dnam_clocks\data\raw\fulltext\WaziryR_2023_29b3ce.pdf</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BozackA_2025_e4438c</w:t>
            </w:r>
          </w:p>
        </w:tc>
        <w:tc>
          <w:tcPr>
            <w:tcW w:type="dxa" w:w="1080"/>
          </w:tcPr>
          <w:p>
            <w:r>
              <w:t>One-carbon metabolism-related compounds are associated with epigenetic aging biomarkers: Results from National Health and Nutrition Examination Survey (NHANES) 1999-2002</w:t>
            </w:r>
          </w:p>
        </w:tc>
        <w:tc>
          <w:tcPr>
            <w:tcW w:type="dxa" w:w="1080"/>
          </w:tcPr>
          <w:p>
            <w:r>
              <w:t>2025.0</w:t>
            </w:r>
          </w:p>
        </w:tc>
        <w:tc>
          <w:tcPr>
            <w:tcW w:type="dxa" w:w="1080"/>
          </w:tcPr>
          <w:p>
            <w:r>
              <w:t>10.1101/2025.01.06.25320074</w:t>
            </w:r>
          </w:p>
        </w:tc>
        <w:tc>
          <w:tcPr>
            <w:tcW w:type="dxa" w:w="1080"/>
          </w:tcPr>
          <w:p>
            <w:r/>
          </w:p>
        </w:tc>
        <w:tc>
          <w:tcPr>
            <w:tcW w:type="dxa" w:w="1080"/>
          </w:tcPr>
          <w:p>
            <w:r>
              <w:t>D:\Anti ageing research\anti_ageing_review\meta_dnam_clocks\data\raw\fulltext\BozackA_2025_e4438c.pdf</w:t>
            </w:r>
          </w:p>
        </w:tc>
        <w:tc>
          <w:tcPr>
            <w:tcW w:type="dxa" w:w="1080"/>
          </w:tcPr>
          <w:p>
            <w:r>
              <w:t>exclude_fulltext</w:t>
            </w:r>
          </w:p>
        </w:tc>
        <w:tc>
          <w:tcPr>
            <w:tcW w:type="dxa" w:w="1080"/>
          </w:tcPr>
          <w:p>
            <w:r>
              <w:t>Observational/association title-abstract signal</w:t>
            </w:r>
          </w:p>
        </w:tc>
      </w:tr>
      <w:tr>
        <w:tc>
          <w:tcPr>
            <w:tcW w:type="dxa" w:w="1080"/>
          </w:tcPr>
          <w:p>
            <w:r>
              <w:t>MichelsKB_2024_d5c4df</w:t>
            </w:r>
          </w:p>
        </w:tc>
        <w:tc>
          <w:tcPr>
            <w:tcW w:type="dxa" w:w="1080"/>
          </w:tcPr>
          <w:p>
            <w:r>
              <w:t>Impact of folic acid supplementation on the epigenetic profile in healthy unfortified individuals - a randomized intervention trial.</w:t>
            </w:r>
          </w:p>
        </w:tc>
        <w:tc>
          <w:tcPr>
            <w:tcW w:type="dxa" w:w="1080"/>
          </w:tcPr>
          <w:p>
            <w:r>
              <w:t>2024.0</w:t>
            </w:r>
          </w:p>
        </w:tc>
        <w:tc>
          <w:tcPr>
            <w:tcW w:type="dxa" w:w="1080"/>
          </w:tcPr>
          <w:p>
            <w:r>
              <w:t>10.1080/15592294.2023.2293410</w:t>
            </w:r>
          </w:p>
        </w:tc>
        <w:tc>
          <w:tcPr>
            <w:tcW w:type="dxa" w:w="1080"/>
          </w:tcPr>
          <w:p>
            <w:r>
              <w:t>38096372.0</w:t>
            </w:r>
          </w:p>
        </w:tc>
        <w:tc>
          <w:tcPr>
            <w:tcW w:type="dxa" w:w="1080"/>
          </w:tcPr>
          <w:p>
            <w:r>
              <w:t>D:\Anti ageing research\anti_ageing_review\meta_dnam_clocks\data\raw\fulltext\MichelsKB_2024_d5c4df.xml</w:t>
            </w:r>
          </w:p>
        </w:tc>
        <w:tc>
          <w:tcPr>
            <w:tcW w:type="dxa" w:w="1080"/>
          </w:tcPr>
          <w:p>
            <w:r>
              <w:t>exclude_fulltext</w:t>
            </w:r>
          </w:p>
        </w:tc>
        <w:tc>
          <w:tcPr>
            <w:tcW w:type="dxa" w:w="1080"/>
          </w:tcPr>
          <w:p>
            <w:r>
              <w:t>Observational/association title-abstract signal</w:t>
            </w:r>
          </w:p>
        </w:tc>
      </w:tr>
      <w:tr>
        <w:tc>
          <w:tcPr>
            <w:tcW w:type="dxa" w:w="1080"/>
          </w:tcPr>
          <w:p>
            <w:r>
              <w:t>CorleyMJ_2024_9a5fed</w:t>
            </w:r>
          </w:p>
        </w:tc>
        <w:tc>
          <w:tcPr>
            <w:tcW w:type="dxa" w:w="1080"/>
          </w:tcPr>
          <w:p>
            <w:r>
              <w:t>Cell-type specific impact of metformin on monocyte epigenetic age reversal in virally suppressed older people living with HIV.</w:t>
            </w:r>
          </w:p>
        </w:tc>
        <w:tc>
          <w:tcPr>
            <w:tcW w:type="dxa" w:w="1080"/>
          </w:tcPr>
          <w:p>
            <w:r>
              <w:t>2024.0</w:t>
            </w:r>
          </w:p>
        </w:tc>
        <w:tc>
          <w:tcPr>
            <w:tcW w:type="dxa" w:w="1080"/>
          </w:tcPr>
          <w:p>
            <w:r>
              <w:t>10.1111/acel.13926</w:t>
            </w:r>
          </w:p>
        </w:tc>
        <w:tc>
          <w:tcPr>
            <w:tcW w:type="dxa" w:w="1080"/>
          </w:tcPr>
          <w:p>
            <w:r>
              <w:t>37675817.0</w:t>
            </w:r>
          </w:p>
        </w:tc>
        <w:tc>
          <w:tcPr>
            <w:tcW w:type="dxa" w:w="1080"/>
          </w:tcPr>
          <w:p>
            <w:r>
              <w:t>D:\Anti ageing research\anti_ageing_review\meta_dnam_clocks\data\raw\fulltext\CorleyMJ_2024_9a5fed.xml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NdhlovuLC_2025_a7e788</w:t>
            </w:r>
          </w:p>
        </w:tc>
        <w:tc>
          <w:tcPr>
            <w:tcW w:type="dxa" w:w="1080"/>
          </w:tcPr>
          <w:p>
            <w:r>
              <w:t>Virological and Immunological Outcomes of Combined Therapeutic Interventions and Dendritic Cell Therapy in People With HIV.</w:t>
            </w:r>
          </w:p>
        </w:tc>
        <w:tc>
          <w:tcPr>
            <w:tcW w:type="dxa" w:w="1080"/>
          </w:tcPr>
          <w:p>
            <w:r>
              <w:t>2025.0</w:t>
            </w:r>
          </w:p>
        </w:tc>
        <w:tc>
          <w:tcPr>
            <w:tcW w:type="dxa" w:w="1080"/>
          </w:tcPr>
          <w:p>
            <w:r>
              <w:t>10.1093/infdis/jiaf430</w:t>
            </w:r>
          </w:p>
        </w:tc>
        <w:tc>
          <w:tcPr>
            <w:tcW w:type="dxa" w:w="1080"/>
          </w:tcPr>
          <w:p>
            <w:r>
              <w:t>40810569.0</w:t>
            </w:r>
          </w:p>
        </w:tc>
        <w:tc>
          <w:tcPr>
            <w:tcW w:type="dxa" w:w="1080"/>
          </w:tcPr>
          <w:p>
            <w:r>
              <w:t>D:\Anti ageing research\anti_ageing_review\meta_dnam_clocks\data\raw\fulltext\NdhlovuLC_2025_a7e788.xml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Anon_2022_76cf8d</w:t>
            </w:r>
          </w:p>
        </w:tc>
        <w:tc>
          <w:tcPr>
            <w:tcW w:type="dxa" w:w="1080"/>
          </w:tcPr>
          <w:p>
            <w:r>
              <w:t>DOES CALORIC RESTRICTION SLOW THE PROCESS OF BIOLOGICAL AGING? EVIDENCE FROM THE CALERIE TRIAL</w:t>
            </w:r>
          </w:p>
        </w:tc>
        <w:tc>
          <w:tcPr>
            <w:tcW w:type="dxa" w:w="1080"/>
          </w:tcPr>
          <w:p>
            <w:r>
              <w:t>2022.0</w:t>
            </w:r>
          </w:p>
        </w:tc>
        <w:tc>
          <w:tcPr>
            <w:tcW w:type="dxa" w:w="1080"/>
          </w:tcPr>
          <w:p>
            <w:r/>
          </w:p>
        </w:tc>
        <w:tc>
          <w:tcPr>
            <w:tcW w:type="dxa" w:w="1080"/>
          </w:tcPr>
          <w:p>
            <w:r/>
          </w:p>
        </w:tc>
        <w:tc>
          <w:tcPr>
            <w:tcW w:type="dxa" w:w="1080"/>
          </w:tcPr>
          <w:p>
            <w:r>
              <w:t>D:\Anti ageing research\anti_ageing_review\meta_dnam_clocks\data\raw\fulltext\Anon_2022_76cf8d.xml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WangS_2025_28ec80</w:t>
            </w:r>
          </w:p>
        </w:tc>
        <w:tc>
          <w:tcPr>
            <w:tcW w:type="dxa" w:w="1080"/>
          </w:tcPr>
          <w:p>
            <w:r>
              <w:t>Nucleotides as an Anti-Aging Supplementation in Older Adults: A Randomized Controlled Trial (TALENTs study).</w:t>
            </w:r>
          </w:p>
        </w:tc>
        <w:tc>
          <w:tcPr>
            <w:tcW w:type="dxa" w:w="1080"/>
          </w:tcPr>
          <w:p>
            <w:r>
              <w:t>2025.0</w:t>
            </w:r>
          </w:p>
        </w:tc>
        <w:tc>
          <w:tcPr>
            <w:tcW w:type="dxa" w:w="1080"/>
          </w:tcPr>
          <w:p>
            <w:r>
              <w:t>10.1002/advs.202417728</w:t>
            </w:r>
          </w:p>
        </w:tc>
        <w:tc>
          <w:tcPr>
            <w:tcW w:type="dxa" w:w="1080"/>
          </w:tcPr>
          <w:p>
            <w:r>
              <w:t>40433895.0</w:t>
            </w:r>
          </w:p>
        </w:tc>
        <w:tc>
          <w:tcPr>
            <w:tcW w:type="dxa" w:w="1080"/>
          </w:tcPr>
          <w:p>
            <w:r>
              <w:t>D:\Anti ageing research\anti_ageing_review\meta_dnam_clocks\data\raw\fulltext\WangS_2025_28ec80.xml</w:t>
            </w:r>
          </w:p>
        </w:tc>
        <w:tc>
          <w:tcPr>
            <w:tcW w:type="dxa" w:w="1080"/>
          </w:tcPr>
          <w:p>
            <w:r>
              <w:t>exclude_fulltext</w:t>
            </w:r>
          </w:p>
        </w:tc>
        <w:tc>
          <w:tcPr>
            <w:tcW w:type="dxa" w:w="1080"/>
          </w:tcPr>
          <w:p>
            <w:r>
              <w:t>Protocol/design/baseline-only/conference signal</w:t>
            </w:r>
          </w:p>
        </w:tc>
      </w:tr>
      <w:tr>
        <w:tc>
          <w:tcPr>
            <w:tcW w:type="dxa" w:w="1080"/>
          </w:tcPr>
          <w:p>
            <w:r>
              <w:t>LukkahataiN_2023_edac4e</w:t>
            </w:r>
          </w:p>
        </w:tc>
        <w:tc>
          <w:tcPr>
            <w:tcW w:type="dxa" w:w="1080"/>
          </w:tcPr>
          <w:p>
            <w:r>
              <w:t>Feasibility of DNA Methylation Age as a Biomarker of Symptoms and Resilience among Cancer Survivors with Multiple Chronic Conditions.</w:t>
            </w:r>
          </w:p>
        </w:tc>
        <w:tc>
          <w:tcPr>
            <w:tcW w:type="dxa" w:w="1080"/>
          </w:tcPr>
          <w:p>
            <w:r>
              <w:t>2023.0</w:t>
            </w:r>
          </w:p>
        </w:tc>
        <w:tc>
          <w:tcPr>
            <w:tcW w:type="dxa" w:w="1080"/>
          </w:tcPr>
          <w:p>
            <w:r>
              <w:t>10.3390/biomedicines11113076</w:t>
            </w:r>
          </w:p>
        </w:tc>
        <w:tc>
          <w:tcPr>
            <w:tcW w:type="dxa" w:w="1080"/>
          </w:tcPr>
          <w:p>
            <w:r>
              <w:t>38002076.0</w:t>
            </w:r>
          </w:p>
        </w:tc>
        <w:tc>
          <w:tcPr>
            <w:tcW w:type="dxa" w:w="1080"/>
          </w:tcPr>
          <w:p>
            <w:r>
              <w:t>D:\Anti ageing research\anti_ageing_review\meta_dnam_clocks\data\raw\fulltext\LukkahataiN_2023_edac4e.xml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AlkemaA_2026_773590</w:t>
            </w:r>
          </w:p>
        </w:tc>
        <w:tc>
          <w:tcPr>
            <w:tcW w:type="dxa" w:w="1080"/>
          </w:tcPr>
          <w:p>
            <w:r>
              <w:t>S-adenosylmethionine as an epigenetic treatment of depression in adults with childhood trauma.</w:t>
            </w:r>
          </w:p>
        </w:tc>
        <w:tc>
          <w:tcPr>
            <w:tcW w:type="dxa" w:w="1080"/>
          </w:tcPr>
          <w:p>
            <w:r>
              <w:t>2026.0</w:t>
            </w:r>
          </w:p>
        </w:tc>
        <w:tc>
          <w:tcPr>
            <w:tcW w:type="dxa" w:w="1080"/>
          </w:tcPr>
          <w:p>
            <w:r>
              <w:t>10.1080/17501911.2026.2645001</w:t>
            </w:r>
          </w:p>
        </w:tc>
        <w:tc>
          <w:tcPr>
            <w:tcW w:type="dxa" w:w="1080"/>
          </w:tcPr>
          <w:p>
            <w:r>
              <w:t>42027147.0</w:t>
            </w:r>
          </w:p>
        </w:tc>
        <w:tc>
          <w:tcPr>
            <w:tcW w:type="dxa" w:w="1080"/>
          </w:tcPr>
          <w:p>
            <w:r>
              <w:t>D:\Anti ageing research\anti_ageing_review\meta_dnam_clocks\data\raw\fulltext\AlkemaA_2026_773590.html</w:t>
            </w:r>
          </w:p>
        </w:tc>
        <w:tc>
          <w:tcPr>
            <w:tcW w:type="dxa" w:w="1080"/>
          </w:tcPr>
          <w:p>
            <w:r>
              <w:t>exclude_fulltext</w:t>
            </w:r>
          </w:p>
        </w:tc>
        <w:tc>
          <w:tcPr>
            <w:tcW w:type="dxa" w:w="1080"/>
          </w:tcPr>
          <w:p>
            <w:r>
              <w:t>Observational/association title-abstract signal</w:t>
            </w:r>
          </w:p>
        </w:tc>
      </w:tr>
      <w:tr>
        <w:tc>
          <w:tcPr>
            <w:tcW w:type="dxa" w:w="1080"/>
          </w:tcPr>
          <w:p>
            <w:r>
              <w:t>MerrillSM_2024_5ee99d</w:t>
            </w:r>
          </w:p>
        </w:tc>
        <w:tc>
          <w:tcPr>
            <w:tcW w:type="dxa" w:w="1080"/>
          </w:tcPr>
          <w:p>
            <w:r>
              <w:t>Telehealth Parenting Program and Salivary Epigenetic Biomarkers in Preschool Children With Developmental Delay: NIMHD Social Epigenomics Program.</w:t>
            </w:r>
          </w:p>
        </w:tc>
        <w:tc>
          <w:tcPr>
            <w:tcW w:type="dxa" w:w="1080"/>
          </w:tcPr>
          <w:p>
            <w:r>
              <w:t>2024.0</w:t>
            </w:r>
          </w:p>
        </w:tc>
        <w:tc>
          <w:tcPr>
            <w:tcW w:type="dxa" w:w="1080"/>
          </w:tcPr>
          <w:p>
            <w:r>
              <w:t>10.1001/jamanetworkopen.2024.24815</w:t>
            </w:r>
          </w:p>
        </w:tc>
        <w:tc>
          <w:tcPr>
            <w:tcW w:type="dxa" w:w="1080"/>
          </w:tcPr>
          <w:p>
            <w:r>
              <w:t>39073812.0</w:t>
            </w:r>
          </w:p>
        </w:tc>
        <w:tc>
          <w:tcPr>
            <w:tcW w:type="dxa" w:w="1080"/>
          </w:tcPr>
          <w:p>
            <w:r>
              <w:t>D:\Anti ageing research\anti_ageing_review\meta_dnam_clocks\data\raw\fulltext\MerrillSM_2024_5ee99d.xml</w:t>
            </w:r>
          </w:p>
        </w:tc>
        <w:tc>
          <w:tcPr>
            <w:tcW w:type="dxa" w:w="1080"/>
          </w:tcPr>
          <w:p>
            <w:r>
              <w:t>exclude_fulltext</w:t>
            </w:r>
          </w:p>
        </w:tc>
        <w:tc>
          <w:tcPr>
            <w:tcW w:type="dxa" w:w="1080"/>
          </w:tcPr>
          <w:p>
            <w:r>
              <w:t>Protocol/design/baseline-only/conference signal</w:t>
            </w:r>
          </w:p>
        </w:tc>
      </w:tr>
      <w:tr>
        <w:tc>
          <w:tcPr>
            <w:tcW w:type="dxa" w:w="1080"/>
          </w:tcPr>
          <w:p>
            <w:r>
              <w:t>YaskolkaMeirA_2023_ba151d</w:t>
            </w:r>
          </w:p>
        </w:tc>
        <w:tc>
          <w:tcPr>
            <w:tcW w:type="dxa" w:w="1080"/>
          </w:tcPr>
          <w:p>
            <w:r>
              <w:t>The effect of polyphenols on DNA methylation-assessed biological age attenuation: the DIRECT PLUS randomized controlled trial.</w:t>
            </w:r>
          </w:p>
        </w:tc>
        <w:tc>
          <w:tcPr>
            <w:tcW w:type="dxa" w:w="1080"/>
          </w:tcPr>
          <w:p>
            <w:r>
              <w:t>2023.0</w:t>
            </w:r>
          </w:p>
        </w:tc>
        <w:tc>
          <w:tcPr>
            <w:tcW w:type="dxa" w:w="1080"/>
          </w:tcPr>
          <w:p>
            <w:r>
              <w:t>10.1186/s12916-023-03067-3</w:t>
            </w:r>
          </w:p>
        </w:tc>
        <w:tc>
          <w:tcPr>
            <w:tcW w:type="dxa" w:w="1080"/>
          </w:tcPr>
          <w:p>
            <w:r>
              <w:t>37743489.0</w:t>
            </w:r>
          </w:p>
        </w:tc>
        <w:tc>
          <w:tcPr>
            <w:tcW w:type="dxa" w:w="1080"/>
          </w:tcPr>
          <w:p>
            <w:r>
              <w:t>D:\Anti ageing research\anti_ageing_review\meta_dnam_clocks\data\raw\fulltext\YaskolkaMeirA_2023_ba151d.xml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OrrME_2024_4b35d1</w:t>
            </w:r>
          </w:p>
        </w:tc>
        <w:tc>
          <w:tcPr>
            <w:tcW w:type="dxa" w:w="1080"/>
          </w:tcPr>
          <w:p>
            <w:r>
              <w:t>A randomized placebo-controlled trial of nicotinamide riboside in older adults with mild cognitive impairment.</w:t>
            </w:r>
          </w:p>
        </w:tc>
        <w:tc>
          <w:tcPr>
            <w:tcW w:type="dxa" w:w="1080"/>
          </w:tcPr>
          <w:p>
            <w:r>
              <w:t>2024.0</w:t>
            </w:r>
          </w:p>
        </w:tc>
        <w:tc>
          <w:tcPr>
            <w:tcW w:type="dxa" w:w="1080"/>
          </w:tcPr>
          <w:p>
            <w:r>
              <w:t>10.1007/s11357-023-00999-9</w:t>
            </w:r>
          </w:p>
        </w:tc>
        <w:tc>
          <w:tcPr>
            <w:tcW w:type="dxa" w:w="1080"/>
          </w:tcPr>
          <w:p>
            <w:r>
              <w:t>37994989.0</w:t>
            </w:r>
          </w:p>
        </w:tc>
        <w:tc>
          <w:tcPr>
            <w:tcW w:type="dxa" w:w="1080"/>
          </w:tcPr>
          <w:p>
            <w:r>
              <w:t>D:\Anti ageing research\anti_ageing_review\meta_dnam_clocks\data\raw\fulltext\OrrME_2024_4b35d1.pdf</w:t>
            </w:r>
          </w:p>
        </w:tc>
        <w:tc>
          <w:tcPr>
            <w:tcW w:type="dxa" w:w="1080"/>
          </w:tcPr>
          <w:p>
            <w:r>
              <w:t>exclude_fulltext</w:t>
            </w:r>
          </w:p>
        </w:tc>
        <w:tc>
          <w:tcPr>
            <w:tcW w:type="dxa" w:w="1080"/>
          </w:tcPr>
          <w:p>
            <w:r>
              <w:t>DNAm clock outcome not confirmed in accessible full text</w:t>
            </w:r>
          </w:p>
        </w:tc>
      </w:tr>
      <w:tr>
        <w:tc>
          <w:tcPr>
            <w:tcW w:type="dxa" w:w="1080"/>
          </w:tcPr>
          <w:p>
            <w:r>
              <w:t>LiS_2026_ed6e27</w:t>
            </w:r>
          </w:p>
        </w:tc>
        <w:tc>
          <w:tcPr>
            <w:tcW w:type="dxa" w:w="1080"/>
          </w:tcPr>
          <w:p>
            <w:r>
              <w:t>Effects of daily multivitamin-multimineral and cocoa extract supplementation on epigenetic aging clocks in the COSMOS randomized clinical trial.</w:t>
            </w:r>
          </w:p>
        </w:tc>
        <w:tc>
          <w:tcPr>
            <w:tcW w:type="dxa" w:w="1080"/>
          </w:tcPr>
          <w:p>
            <w:r>
              <w:t>2026.0</w:t>
            </w:r>
          </w:p>
        </w:tc>
        <w:tc>
          <w:tcPr>
            <w:tcW w:type="dxa" w:w="1080"/>
          </w:tcPr>
          <w:p>
            <w:r>
              <w:t>10.1038/s41591-026-04239-3</w:t>
            </w:r>
          </w:p>
        </w:tc>
        <w:tc>
          <w:tcPr>
            <w:tcW w:type="dxa" w:w="1080"/>
          </w:tcPr>
          <w:p>
            <w:r>
              <w:t>41803341.0</w:t>
            </w:r>
          </w:p>
        </w:tc>
        <w:tc>
          <w:tcPr>
            <w:tcW w:type="dxa" w:w="1080"/>
          </w:tcPr>
          <w:p>
            <w:r/>
          </w:p>
        </w:tc>
        <w:tc>
          <w:tcPr>
            <w:tcW w:type="dxa" w:w="1080"/>
          </w:tcPr>
          <w:p>
            <w:r>
              <w:t>await_fulltext</w:t>
            </w:r>
          </w:p>
        </w:tc>
        <w:tc>
          <w:tcPr>
            <w:tcW w:type="dxa" w:w="1080"/>
          </w:tcPr>
          <w:p>
            <w:r>
              <w:t>No accessible XML/PDF/HTML full text in workspace</w:t>
            </w:r>
          </w:p>
        </w:tc>
      </w:tr>
      <w:tr>
        <w:tc>
          <w:tcPr>
            <w:tcW w:type="dxa" w:w="1080"/>
          </w:tcPr>
          <w:p>
            <w:r>
              <w:t>WeberDM_2025_984085</w:t>
            </w:r>
          </w:p>
        </w:tc>
        <w:tc>
          <w:tcPr>
            <w:tcW w:type="dxa" w:w="1080"/>
          </w:tcPr>
          <w:p>
            <w:r>
              <w:t>Relationship intervention moderates the association between substance use and biological aging among Black adults.</w:t>
            </w:r>
          </w:p>
        </w:tc>
        <w:tc>
          <w:tcPr>
            <w:tcW w:type="dxa" w:w="1080"/>
          </w:tcPr>
          <w:p>
            <w:r>
              <w:t>2025.0</w:t>
            </w:r>
          </w:p>
        </w:tc>
        <w:tc>
          <w:tcPr>
            <w:tcW w:type="dxa" w:w="1080"/>
          </w:tcPr>
          <w:p>
            <w:r>
              <w:t>10.1037/hea0001495</w:t>
            </w:r>
          </w:p>
        </w:tc>
        <w:tc>
          <w:tcPr>
            <w:tcW w:type="dxa" w:w="1080"/>
          </w:tcPr>
          <w:p>
            <w:r>
              <w:t>40167560.0</w:t>
            </w:r>
          </w:p>
        </w:tc>
        <w:tc>
          <w:tcPr>
            <w:tcW w:type="dxa" w:w="1080"/>
          </w:tcPr>
          <w:p>
            <w:r>
              <w:t>D:\Anti ageing research\anti_ageing_review\meta_dnam_clocks\data\raw\fulltext\WeberDM_2025_984085.html</w:t>
            </w:r>
          </w:p>
        </w:tc>
        <w:tc>
          <w:tcPr>
            <w:tcW w:type="dxa" w:w="1080"/>
          </w:tcPr>
          <w:p>
            <w:r>
              <w:t>exclude_fulltext</w:t>
            </w:r>
          </w:p>
        </w:tc>
        <w:tc>
          <w:tcPr>
            <w:tcW w:type="dxa" w:w="1080"/>
          </w:tcPr>
          <w:p>
            <w:r>
              <w:t>Observational/association title-abstract signal</w:t>
            </w:r>
          </w:p>
        </w:tc>
      </w:tr>
      <w:tr>
        <w:tc>
          <w:tcPr>
            <w:tcW w:type="dxa" w:w="1080"/>
          </w:tcPr>
          <w:p>
            <w:r>
              <w:t>NwanajiEnweremJC_2021_06bc0c</w:t>
            </w:r>
          </w:p>
        </w:tc>
        <w:tc>
          <w:tcPr>
            <w:tcW w:type="dxa" w:w="1080"/>
          </w:tcPr>
          <w:p>
            <w:r>
              <w:t>An epigenetic aging analysis of randomized metformin and weight loss interventions in overweight postmenopausal breast cancer survivors.</w:t>
            </w:r>
          </w:p>
        </w:tc>
        <w:tc>
          <w:tcPr>
            <w:tcW w:type="dxa" w:w="1080"/>
          </w:tcPr>
          <w:p>
            <w:r>
              <w:t>2021.0</w:t>
            </w:r>
          </w:p>
        </w:tc>
        <w:tc>
          <w:tcPr>
            <w:tcW w:type="dxa" w:w="1080"/>
          </w:tcPr>
          <w:p>
            <w:r>
              <w:t>10.1186/s13148-021-01218-y</w:t>
            </w:r>
          </w:p>
        </w:tc>
        <w:tc>
          <w:tcPr>
            <w:tcW w:type="dxa" w:w="1080"/>
          </w:tcPr>
          <w:p>
            <w:r>
              <w:t>34920739.0</w:t>
            </w:r>
          </w:p>
        </w:tc>
        <w:tc>
          <w:tcPr>
            <w:tcW w:type="dxa" w:w="1080"/>
          </w:tcPr>
          <w:p>
            <w:r>
              <w:t>D:\Anti ageing research\anti_ageing_review\meta_dnam_clocks\data\raw\fulltext\NwanajiEnweremJC_2021_06bc0c.xml</w:t>
            </w:r>
          </w:p>
        </w:tc>
        <w:tc>
          <w:tcPr>
            <w:tcW w:type="dxa" w:w="1080"/>
          </w:tcPr>
          <w:p>
            <w:r>
              <w:t>exclude_fulltext</w:t>
            </w:r>
          </w:p>
        </w:tc>
        <w:tc>
          <w:tcPr>
            <w:tcW w:type="dxa" w:w="1080"/>
          </w:tcPr>
          <w:p>
            <w:r>
              <w:t>Observational/association title-abstract signal</w:t>
            </w:r>
          </w:p>
        </w:tc>
      </w:tr>
      <w:tr>
        <w:tc>
          <w:tcPr>
            <w:tcW w:type="dxa" w:w="1080"/>
          </w:tcPr>
          <w:p>
            <w:r>
              <w:t>Anon_2022_70e2d6</w:t>
            </w:r>
          </w:p>
        </w:tc>
        <w:tc>
          <w:tcPr>
            <w:tcW w:type="dxa" w:w="1080"/>
          </w:tcPr>
          <w:p>
            <w:r>
              <w:t>VITAMIN D DEFICIENCY AND FASTER EPIGENETIC AGING: RESULTS FROM THE BERLIN AGING STUDY II (BASE-II)</w:t>
            </w:r>
          </w:p>
        </w:tc>
        <w:tc>
          <w:tcPr>
            <w:tcW w:type="dxa" w:w="1080"/>
          </w:tcPr>
          <w:p>
            <w:r>
              <w:t>2022.0</w:t>
            </w:r>
          </w:p>
        </w:tc>
        <w:tc>
          <w:tcPr>
            <w:tcW w:type="dxa" w:w="1080"/>
          </w:tcPr>
          <w:p>
            <w:r/>
          </w:p>
        </w:tc>
        <w:tc>
          <w:tcPr>
            <w:tcW w:type="dxa" w:w="1080"/>
          </w:tcPr>
          <w:p>
            <w:r/>
          </w:p>
        </w:tc>
        <w:tc>
          <w:tcPr>
            <w:tcW w:type="dxa" w:w="1080"/>
          </w:tcPr>
          <w:p>
            <w:r>
              <w:t>D:\Anti ageing research\anti_ageing_review\meta_dnam_clocks\data\raw\fulltext\Anon_2022_70e2d6.xml</w:t>
            </w:r>
          </w:p>
        </w:tc>
        <w:tc>
          <w:tcPr>
            <w:tcW w:type="dxa" w:w="1080"/>
          </w:tcPr>
          <w:p>
            <w:r>
              <w:t>exclude_fulltext</w:t>
            </w:r>
          </w:p>
        </w:tc>
        <w:tc>
          <w:tcPr>
            <w:tcW w:type="dxa" w:w="1080"/>
          </w:tcPr>
          <w:p>
            <w:r>
              <w:t>Observational/association title-abstract signal</w:t>
            </w:r>
          </w:p>
        </w:tc>
      </w:tr>
      <w:tr>
        <w:tc>
          <w:tcPr>
            <w:tcW w:type="dxa" w:w="1080"/>
          </w:tcPr>
          <w:p>
            <w:r>
              <w:t>ChenL_2019_c57fe5</w:t>
            </w:r>
          </w:p>
        </w:tc>
        <w:tc>
          <w:tcPr>
            <w:tcW w:type="dxa" w:w="1080"/>
          </w:tcPr>
          <w:p>
            <w:r>
              <w:t>Effects of Vitamin D3 Supplementation on Epigenetic Aging in Overweight and Obese African Americans With Suboptimal Vitamin D Status: A Randomized Clinical Trial.</w:t>
            </w:r>
          </w:p>
        </w:tc>
        <w:tc>
          <w:tcPr>
            <w:tcW w:type="dxa" w:w="1080"/>
          </w:tcPr>
          <w:p>
            <w:r>
              <w:t>2019.0</w:t>
            </w:r>
          </w:p>
        </w:tc>
        <w:tc>
          <w:tcPr>
            <w:tcW w:type="dxa" w:w="1080"/>
          </w:tcPr>
          <w:p>
            <w:r>
              <w:t>10.1093/gerona/gly223</w:t>
            </w:r>
          </w:p>
        </w:tc>
        <w:tc>
          <w:tcPr>
            <w:tcW w:type="dxa" w:w="1080"/>
          </w:tcPr>
          <w:p>
            <w:r>
              <w:t>30256915.0</w:t>
            </w:r>
          </w:p>
        </w:tc>
        <w:tc>
          <w:tcPr>
            <w:tcW w:type="dxa" w:w="1080"/>
          </w:tcPr>
          <w:p>
            <w:r>
              <w:t>D:\Anti ageing research\anti_ageing_review\meta_dnam_clocks\data\raw\fulltext\ChenL_2019_c57fe5.html</w:t>
            </w:r>
          </w:p>
        </w:tc>
        <w:tc>
          <w:tcPr>
            <w:tcW w:type="dxa" w:w="1080"/>
          </w:tcPr>
          <w:p>
            <w:r>
              <w:t>include_accessible_first_reviewer</w:t>
            </w:r>
          </w:p>
        </w:tc>
        <w:tc>
          <w:tcPr>
            <w:tcW w:type="dxa" w:w="1080"/>
          </w:tcPr>
          <w:p>
            <w:r>
              <w:t>Accessible full text confirms intervention/RCT signal and DNAm clock numeric reporting</w:t>
            </w:r>
          </w:p>
        </w:tc>
      </w:tr>
      <w:tr>
        <w:tc>
          <w:tcPr>
            <w:tcW w:type="dxa" w:w="1080"/>
          </w:tcPr>
          <w:p>
            <w:r>
              <w:t>ZhangB_2026_5cf019</w:t>
            </w:r>
          </w:p>
        </w:tc>
        <w:tc>
          <w:tcPr>
            <w:tcW w:type="dxa" w:w="1080"/>
          </w:tcPr>
          <w:p>
            <w:r>
              <w:t>Interpretable machine learning with SHAP analysis identifies redox-modulating dietary antioxidants for predicting accelerated biological aging.</w:t>
            </w:r>
          </w:p>
        </w:tc>
        <w:tc>
          <w:tcPr>
            <w:tcW w:type="dxa" w:w="1080"/>
          </w:tcPr>
          <w:p>
            <w:r>
              <w:t>2026.0</w:t>
            </w:r>
          </w:p>
        </w:tc>
        <w:tc>
          <w:tcPr>
            <w:tcW w:type="dxa" w:w="1080"/>
          </w:tcPr>
          <w:p>
            <w:r>
              <w:t>10.1016/j.exger.2026.113168</w:t>
            </w:r>
          </w:p>
        </w:tc>
        <w:tc>
          <w:tcPr>
            <w:tcW w:type="dxa" w:w="1080"/>
          </w:tcPr>
          <w:p>
            <w:r>
              <w:t>42119652.0</w:t>
            </w:r>
          </w:p>
        </w:tc>
        <w:tc>
          <w:tcPr>
            <w:tcW w:type="dxa" w:w="1080"/>
          </w:tcPr>
          <w:p>
            <w:r>
              <w:t>D:\Anti ageing research\anti_ageing_review\meta_dnam_clocks\data\raw\fulltext\ZhangB_2026_5cf019.html</w:t>
            </w:r>
          </w:p>
        </w:tc>
        <w:tc>
          <w:tcPr>
            <w:tcW w:type="dxa" w:w="1080"/>
          </w:tcPr>
          <w:p>
            <w:r>
              <w:t>exclude_fulltext</w:t>
            </w:r>
          </w:p>
        </w:tc>
        <w:tc>
          <w:tcPr>
            <w:tcW w:type="dxa" w:w="1080"/>
          </w:tcPr>
          <w:p>
            <w:r>
              <w:t>Observational/association title-abstract signal</w:t>
            </w:r>
          </w:p>
        </w:tc>
      </w:tr>
      <w:tr>
        <w:tc>
          <w:tcPr>
            <w:tcW w:type="dxa" w:w="1080"/>
          </w:tcPr>
          <w:p>
            <w:r>
              <w:t>WaziryR_2021_222aa5</w:t>
            </w:r>
          </w:p>
        </w:tc>
        <w:tc>
          <w:tcPr>
            <w:tcW w:type="dxa" w:w="1080"/>
          </w:tcPr>
          <w:p>
            <w:r>
              <w:t>Effect of Long-Term Caloric Restriction on DNA Methylation Measures of Biological Aging in Healthy Adults: CALERIE™ Trial Analysis</w:t>
            </w:r>
          </w:p>
        </w:tc>
        <w:tc>
          <w:tcPr>
            <w:tcW w:type="dxa" w:w="1080"/>
          </w:tcPr>
          <w:p>
            <w:r>
              <w:t>2021.0</w:t>
            </w:r>
          </w:p>
        </w:tc>
        <w:tc>
          <w:tcPr>
            <w:tcW w:type="dxa" w:w="1080"/>
          </w:tcPr>
          <w:p>
            <w:r>
              <w:t>10.1101/2021.09.21.21263912</w:t>
            </w:r>
          </w:p>
        </w:tc>
        <w:tc>
          <w:tcPr>
            <w:tcW w:type="dxa" w:w="1080"/>
          </w:tcPr>
          <w:p>
            <w:r/>
          </w:p>
        </w:tc>
        <w:tc>
          <w:tcPr>
            <w:tcW w:type="dxa" w:w="1080"/>
          </w:tcPr>
          <w:p>
            <w:r>
              <w:t>D:\Anti ageing research\anti_ageing_review\meta_dnam_clocks\data\raw\fulltext\WaziryR_2021_222aa5.pdf</w:t>
            </w:r>
          </w:p>
        </w:tc>
        <w:tc>
          <w:tcPr>
            <w:tcW w:type="dxa" w:w="1080"/>
          </w:tcPr>
          <w:p>
            <w:r>
              <w:t>exclude_fulltext</w:t>
            </w:r>
          </w:p>
        </w:tc>
        <w:tc>
          <w:tcPr>
            <w:tcW w:type="dxa" w:w="1080"/>
          </w:tcPr>
          <w:p>
            <w:r>
              <w:t>Protocol/design/baseline-only/conference signal</w:t>
            </w:r>
          </w:p>
        </w:tc>
      </w:tr>
      <w:tr>
        <w:tc>
          <w:tcPr>
            <w:tcW w:type="dxa" w:w="1080"/>
          </w:tcPr>
          <w:p>
            <w:r>
              <w:t>WangS_2024_1247bd</w:t>
            </w:r>
          </w:p>
        </w:tc>
        <w:tc>
          <w:tcPr>
            <w:tcW w:type="dxa" w:w="1080"/>
          </w:tcPr>
          <w:p>
            <w:r>
              <w:t>Targeting Aging and Longevity with Exogenous Nucleotides (TALENTs): Rationale, Design, and Baseline Characteristics from a Randomized Controlled Trial in Older Adults.</w:t>
            </w:r>
          </w:p>
        </w:tc>
        <w:tc>
          <w:tcPr>
            <w:tcW w:type="dxa" w:w="1080"/>
          </w:tcPr>
          <w:p>
            <w:r>
              <w:t>2024.0</w:t>
            </w:r>
          </w:p>
        </w:tc>
        <w:tc>
          <w:tcPr>
            <w:tcW w:type="dxa" w:w="1080"/>
          </w:tcPr>
          <w:p>
            <w:r>
              <w:t>10.3390/nu16091343</w:t>
            </w:r>
          </w:p>
        </w:tc>
        <w:tc>
          <w:tcPr>
            <w:tcW w:type="dxa" w:w="1080"/>
          </w:tcPr>
          <w:p>
            <w:r>
              <w:t>38732590.0</w:t>
            </w:r>
          </w:p>
        </w:tc>
        <w:tc>
          <w:tcPr>
            <w:tcW w:type="dxa" w:w="1080"/>
          </w:tcPr>
          <w:p>
            <w:r>
              <w:t>D:\Anti ageing research\anti_ageing_review\meta_dnam_clocks\data\raw\fulltext\WangS_2024_1247bd.xml</w:t>
            </w:r>
          </w:p>
        </w:tc>
        <w:tc>
          <w:tcPr>
            <w:tcW w:type="dxa" w:w="1080"/>
          </w:tcPr>
          <w:p>
            <w:r>
              <w:t>exclude_fulltext</w:t>
            </w:r>
          </w:p>
        </w:tc>
        <w:tc>
          <w:tcPr>
            <w:tcW w:type="dxa" w:w="1080"/>
          </w:tcPr>
          <w:p>
            <w:r>
              <w:t>Protocol/design/baseline-only/conference signal</w:t>
            </w:r>
          </w:p>
        </w:tc>
      </w:tr>
      <w:tr>
        <w:tc>
          <w:tcPr>
            <w:tcW w:type="dxa" w:w="1080"/>
          </w:tcPr>
          <w:p>
            <w:r>
              <w:t>Euclydes_2022_9ce80c</w:t>
            </w:r>
          </w:p>
        </w:tc>
        <w:tc>
          <w:tcPr>
            <w:tcW w:type="dxa" w:w="1080"/>
          </w:tcPr>
          <w:p>
            <w:r>
              <w:t>DNA methylation mediates a randomized controlled trial home-visiting intervention during pregnancy and the Bayley infant’s cognitive scores at 12 months of age</w:t>
            </w:r>
          </w:p>
        </w:tc>
        <w:tc>
          <w:tcPr>
            <w:tcW w:type="dxa" w:w="1080"/>
          </w:tcPr>
          <w:p>
            <w:r>
              <w:t>2022.0</w:t>
            </w:r>
          </w:p>
        </w:tc>
        <w:tc>
          <w:tcPr>
            <w:tcW w:type="dxa" w:w="1080"/>
          </w:tcPr>
          <w:p>
            <w:r>
              <w:t>10.1017/s2040174421000738</w:t>
            </w:r>
          </w:p>
        </w:tc>
        <w:tc>
          <w:tcPr>
            <w:tcW w:type="dxa" w:w="1080"/>
          </w:tcPr>
          <w:p>
            <w:r/>
          </w:p>
        </w:tc>
        <w:tc>
          <w:tcPr>
            <w:tcW w:type="dxa" w:w="1080"/>
          </w:tcPr>
          <w:p>
            <w:r>
              <w:t>D:\Anti ageing research\anti_ageing_review\meta_dnam_clocks\data\raw\fulltext\Euclydes_2022_9ce80c.pdf</w:t>
            </w:r>
          </w:p>
        </w:tc>
        <w:tc>
          <w:tcPr>
            <w:tcW w:type="dxa" w:w="1080"/>
          </w:tcPr>
          <w:p>
            <w:r>
              <w:t>exclude_fulltext</w:t>
            </w:r>
          </w:p>
        </w:tc>
        <w:tc>
          <w:tcPr>
            <w:tcW w:type="dxa" w:w="1080"/>
          </w:tcPr>
          <w:p>
            <w:r>
              <w:t>Observational/association title-abstract signal</w:t>
            </w:r>
          </w:p>
        </w:tc>
      </w:tr>
      <w:tr>
        <w:tc>
          <w:tcPr>
            <w:tcW w:type="dxa" w:w="1080"/>
          </w:tcPr>
          <w:p>
            <w:r>
              <w:t>Ramsteijn_2026_051063</w:t>
            </w:r>
          </w:p>
        </w:tc>
        <w:tc>
          <w:tcPr>
            <w:tcW w:type="dxa" w:w="1080"/>
          </w:tcPr>
          <w:p>
            <w:r>
              <w:t>P1309 Biological age acceleration in Crohn’s Disease patients in long-term remission on combination therapy: epigenetic analysis of the SPARE &amp;amp; STORI trial population</w:t>
            </w:r>
          </w:p>
        </w:tc>
        <w:tc>
          <w:tcPr>
            <w:tcW w:type="dxa" w:w="1080"/>
          </w:tcPr>
          <w:p>
            <w:r>
              <w:t>2026.0</w:t>
            </w:r>
          </w:p>
        </w:tc>
        <w:tc>
          <w:tcPr>
            <w:tcW w:type="dxa" w:w="1080"/>
          </w:tcPr>
          <w:p>
            <w:r>
              <w:t>10.1093/ecco-jcc/jjaf231.1490</w:t>
            </w:r>
          </w:p>
        </w:tc>
        <w:tc>
          <w:tcPr>
            <w:tcW w:type="dxa" w:w="1080"/>
          </w:tcPr>
          <w:p>
            <w:r/>
          </w:p>
        </w:tc>
        <w:tc>
          <w:tcPr>
            <w:tcW w:type="dxa" w:w="1080"/>
          </w:tcPr>
          <w:p>
            <w:r/>
          </w:p>
        </w:tc>
        <w:tc>
          <w:tcPr>
            <w:tcW w:type="dxa" w:w="1080"/>
          </w:tcPr>
          <w:p>
            <w:r>
              <w:t>await_fulltext</w:t>
            </w:r>
          </w:p>
        </w:tc>
        <w:tc>
          <w:tcPr>
            <w:tcW w:type="dxa" w:w="1080"/>
          </w:tcPr>
          <w:p>
            <w:r>
              <w:t>No accessible XML/PDF/HTML full text in workspace</w:t>
            </w:r>
          </w:p>
        </w:tc>
      </w:tr>
      <w:tr>
        <w:tc>
          <w:tcPr>
            <w:tcW w:type="dxa" w:w="1080"/>
          </w:tcPr>
          <w:p>
            <w:r>
              <w:t>EstebanCantos_2021_63f044</w:t>
            </w:r>
          </w:p>
        </w:tc>
        <w:tc>
          <w:tcPr>
            <w:tcW w:type="dxa" w:w="1080"/>
          </w:tcPr>
          <w:p>
            <w:r>
              <w:t>Epigenetic age acceleration changes 2 years after antiretroviral therapy initiation in adults with HIV: a substudy of the NEAT001/ANRS143 randomised trial</w:t>
            </w:r>
          </w:p>
        </w:tc>
        <w:tc>
          <w:tcPr>
            <w:tcW w:type="dxa" w:w="1080"/>
          </w:tcPr>
          <w:p>
            <w:r>
              <w:t>2021.0</w:t>
            </w:r>
          </w:p>
        </w:tc>
        <w:tc>
          <w:tcPr>
            <w:tcW w:type="dxa" w:w="1080"/>
          </w:tcPr>
          <w:p>
            <w:r>
              <w:t>10.1016/s2352-3018(21)00006-0</w:t>
            </w:r>
          </w:p>
        </w:tc>
        <w:tc>
          <w:tcPr>
            <w:tcW w:type="dxa" w:w="1080"/>
          </w:tcPr>
          <w:p>
            <w:r>
              <w:t>33794182.0</w:t>
            </w:r>
          </w:p>
        </w:tc>
        <w:tc>
          <w:tcPr>
            <w:tcW w:type="dxa" w:w="1080"/>
          </w:tcPr>
          <w:p>
            <w:r/>
          </w:p>
        </w:tc>
        <w:tc>
          <w:tcPr>
            <w:tcW w:type="dxa" w:w="1080"/>
          </w:tcPr>
          <w:p>
            <w:r>
              <w:t>await_fulltext</w:t>
            </w:r>
          </w:p>
        </w:tc>
        <w:tc>
          <w:tcPr>
            <w:tcW w:type="dxa" w:w="1080"/>
          </w:tcPr>
          <w:p>
            <w:r>
              <w:t>No accessible XML/PDF/HTML full text in workspace</w:t>
            </w:r>
          </w:p>
        </w:tc>
      </w:tr>
      <w:tr>
        <w:tc>
          <w:tcPr>
            <w:tcW w:type="dxa" w:w="1080"/>
          </w:tcPr>
          <w:p>
            <w:r>
              <w:t>Anon_2022_df1726</w:t>
            </w:r>
          </w:p>
        </w:tc>
        <w:tc>
          <w:tcPr>
            <w:tcW w:type="dxa" w:w="1080"/>
          </w:tcPr>
          <w:p>
            <w:r>
              <w:t>Slow Age: a Randomized, Controlled Clinical Trial of Interventions to Slow Aging in Humans</w:t>
            </w:r>
          </w:p>
        </w:tc>
        <w:tc>
          <w:tcPr>
            <w:tcW w:type="dxa" w:w="1080"/>
          </w:tcPr>
          <w:p>
            <w:r>
              <w:t>2022.0</w:t>
            </w:r>
          </w:p>
        </w:tc>
        <w:tc>
          <w:tcPr>
            <w:tcW w:type="dxa" w:w="1080"/>
          </w:tcPr>
          <w:p>
            <w:r/>
          </w:p>
        </w:tc>
        <w:tc>
          <w:tcPr>
            <w:tcW w:type="dxa" w:w="1080"/>
          </w:tcPr>
          <w:p>
            <w:r/>
          </w:p>
        </w:tc>
        <w:tc>
          <w:tcPr>
            <w:tcW w:type="dxa" w:w="1080"/>
          </w:tcPr>
          <w:p>
            <w:r/>
          </w:p>
        </w:tc>
        <w:tc>
          <w:tcPr>
            <w:tcW w:type="dxa" w:w="1080"/>
          </w:tcPr>
          <w:p>
            <w:r>
              <w:t>await_fulltext</w:t>
            </w:r>
          </w:p>
        </w:tc>
        <w:tc>
          <w:tcPr>
            <w:tcW w:type="dxa" w:w="1080"/>
          </w:tcPr>
          <w:p>
            <w:r>
              <w:t>No accessible XML/PDF/HTML full text in workspace</w:t>
            </w:r>
          </w:p>
        </w:tc>
      </w:tr>
    </w:tbl>
    <w:p>
      <w:pPr>
        <w:pStyle w:val="Heading1"/>
      </w:pPr>
      <w:r>
        <w:t>S10. Proposed DNAm-clock trial-reporting checklist</w:t>
      </w:r>
    </w:p>
    <w:p>
      <w:r>
        <w:t>- Per-arm n at baseline and at every follow-up timepoint.</w:t>
      </w:r>
    </w:p>
    <w:p>
      <w:r>
        <w:t>- Per-arm clock mean and SD at each timepoint (or change mean and SD).</w:t>
      </w:r>
    </w:p>
    <w:p>
      <w:r>
        <w:t>- Clock name AND version (incl. PC reformulation indication).</w:t>
      </w:r>
    </w:p>
    <w:p>
      <w:r>
        <w:t>- Tissue / sorted cell type.</w:t>
      </w:r>
    </w:p>
    <w:p>
      <w:r>
        <w:t>- Methylation array (450K / EPIC / EPICv2) and preprocessing pipeline.</w:t>
      </w:r>
    </w:p>
    <w:p>
      <w:r>
        <w:t>- Whether values are raw clock age, residualized acceleration, or pace-of-ageing units.</w:t>
      </w:r>
    </w:p>
    <w:p>
      <w:r>
        <w:t>- Cell-composition adjustment used (if any).</w:t>
      </w:r>
    </w:p>
    <w:p>
      <w:r>
        <w:t>- Adjusted-model specification with full covariate list, SE/CI on the original clock scale.</w:t>
      </w:r>
    </w:p>
    <w:p>
      <w:r>
        <w:t>- Supplementary CSV of arm-level extracted values for the clock outcome(s).</w:t>
      </w:r>
    </w:p>
    <w:p>
      <w:r>
        <w:t>- Pre-registration of DNAm-clock endpoint(s) and analysis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