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Internal Peer Review 1 — Meta-analysis Methodologist</w:t>
      </w:r>
    </w:p>
    <w:p>
      <w:r>
        <w:t>Manuscript: Human interventions and DNA-methylation ageing clocks: a Path-C systematic review and meta-analysis under strict honesty constraints</w:t>
      </w:r>
    </w:p>
    <w:p>
      <w:r>
        <w:t>Reviewer perspective: meta-analysis methodologist (Cochrane/GRADE/PRISMA training)</w:t>
      </w:r>
    </w:p>
    <w:p>
      <w:r>
        <w:t>Date: 2026-05-18  |  Target journal: Indian Journal of Medical Research</w:t>
      </w:r>
    </w:p>
    <w:p>
      <w:pPr>
        <w:pStyle w:val="Heading1"/>
      </w:pPr>
      <w:r>
        <w:t>Overall assessment</w:t>
      </w:r>
    </w:p>
    <w:p>
      <w:r>
        <w:t>This is an unusually honest methodological exercise. The authors correctly refuse to pool what cannot be pooled, transparently report every gate failure, and resist the field-typical temptation to convert a null pooled estimate into a clinical narrative. The Path-C amendments (A2, A3) are pre-specified rather than ex-post. That said, the manuscript as a meta-analysis rests on a single pooled outcome (DunedinPACE, k=3) with I²=79% and a prediction interval of roughly [-1.18, 1.16], and several methodological choices deserve closer scrutiny before publication.</w:t>
      </w:r>
    </w:p>
    <w:p>
      <w:pPr>
        <w:pStyle w:val="Heading1"/>
      </w:pPr>
      <w:r>
        <w:t>Major issues</w:t>
      </w:r>
    </w:p>
    <w:p>
      <w:pPr>
        <w:pStyle w:val="Heading2"/>
      </w:pPr>
      <w:r>
        <w:t>M1. Defensibility of Path-C scope expansion (A2 + A3)</w:t>
      </w:r>
    </w:p>
    <w:p>
      <w:r>
        <w:t>The amendments converted a stricter RCT-only design into a longitudinal-arm-level + adjusted-effect design. The justification (extractability) is empirically valid — the extraction yield without A3 would have produced zero pools — but it changes what the review is estimating. The methods section should explicitly frame the synthesis quantum as 'an adjusted between-group association on the original clock scale from heterogeneous designs', not 'the causal effect of intervention class X on clock Y'. Currently the abstract and Discussion edge toward causal-effect language ('effect of human interventions on each DNAm clock'). I recommend tightening to associational language wherever k&lt;5.</w:t>
      </w:r>
    </w:p>
    <w:p>
      <w:pPr>
        <w:pStyle w:val="Heading2"/>
      </w:pPr>
      <w:r>
        <w:t>M2. Validity of generic-inverse-variance pooling across heterogeneous adjustment sets</w:t>
      </w:r>
    </w:p>
    <w:p>
      <w:r>
        <w:t>The three DunedinPACE effects pooled are: a difference-in-difference β (ChapnickM), a 32-week ANCOVA-adjusted between-arm MD (CorleyMJ), and a covariance-adjusted β (MerrillSM). These are NOT exchangeable parameter estimates. Pooling them with GIV-DL implicitly treats them as estimates of a common θ; in reality they estimate three different conditional contrasts. The manuscript acknowledges this in the Discussion but the Methods should also state explicitly that GIV pooling here is descriptive, not inferential. Consider adding a one-line caveat in Results immediately after the pooled estimate.</w:t>
      </w:r>
    </w:p>
    <w:p>
      <w:pPr>
        <w:pStyle w:val="Heading2"/>
      </w:pPr>
      <w:r>
        <w:t>M3. Half-normal(0, 0.5) tau prior at k=3</w:t>
      </w:r>
    </w:p>
    <w:p>
      <w:r>
        <w:t>A half-normal(0, 0.5) prior on τ is mildly informative and concentrates posterior mass on τ values consistent with τ²≈0.04. At k=3 with observed τ²=0.0057, the posterior is dominated by the prior, not the data. The Limitations section flags this but does not show a prior-sensitivity analysis. I recommend running at minimum a half-normal(0, 1.0) and a half-Cauchy(0, 0.5) and reporting the posterior median μ under each in a supplementary table. If the pooled posterior shifts non-trivially, that itself is part of the honest reporting.</w:t>
      </w:r>
    </w:p>
    <w:p>
      <w:pPr>
        <w:pStyle w:val="Heading2"/>
      </w:pPr>
      <w:r>
        <w:t>M4. GRADE downgrade rationale</w:t>
      </w:r>
    </w:p>
    <w:p>
      <w:r>
        <w:t>The GRADE table downgrades four domains (RoB pending, inconsistency, indirectness, imprecision) and arrives at 'Very Low'. The RoB-pending downgrade is conservative and defensible. However: (a) the indirectness downgrade conflates 'heterogeneous interventions pooled' with classical indirectness (population/intervention/comparator/outcome mismatch with the question). This is more accurately a clinical-heterogeneity or applicability issue. (b) The imprecision domain is downgraded because CI crosses null at k=3, but at k=3 the more fundamental issue is sparse-data bias / unstable τ², which is partially captured by the inconsistency downgrade. The two domains may double-count. Consider re-justifying or collapsing.</w:t>
      </w:r>
    </w:p>
    <w:p>
      <w:pPr>
        <w:pStyle w:val="Heading2"/>
      </w:pPr>
      <w:r>
        <w:t>M5. Prediction interval interpretation</w:t>
      </w:r>
    </w:p>
    <w:p>
      <w:r>
        <w:t>The 95% PI [-1.18, 1.16] is reported but its construction at k=3 uses a t-distribution with df=k-2=1, which is extremely wide and unstable. Higgins-Thompson-Spiegelhalter (2009) explicitly caution against interpreting PIs with k&lt;5. The Discussion already notes that the PI 'cannot rule out clinically meaningful slowing or acceleration', which is fine, but the manuscript should add an explicit footnote stating that PI computation at k=3 is reported for completeness only and should not be over-interpreted.</w:t>
      </w:r>
    </w:p>
    <w:p>
      <w:pPr>
        <w:pStyle w:val="Heading1"/>
      </w:pPr>
      <w:r>
        <w:t>Minor issues</w:t>
      </w:r>
    </w:p>
    <w:p>
      <w:r>
        <w:t>m1. Abstract reports {{DPACE_K}} placeholder — verify the rendered docx has actual values everywhere.</w:t>
      </w:r>
    </w:p>
    <w:p>
      <w:r>
        <w:t>m2. Notation: μ is used for both DL pooled mean and Bayes posterior median; consider μ̂_DL vs μ̃_B.</w:t>
      </w:r>
    </w:p>
    <w:p>
      <w:r>
        <w:t>m3. Table 'per_clock_pooled' uses 'Down 1' string in GRADE column — would be clearer as numeric downgrade count plus a separate rationale column.</w:t>
      </w:r>
    </w:p>
    <w:p>
      <w:r>
        <w:t>m4. Forest plot axis label: confirm units are DunedinPACE 'pace-of-ageing units (years per chronological year)'.</w:t>
      </w:r>
    </w:p>
    <w:p>
      <w:r>
        <w:t>m5. References mix bioRxiv/medRxiv preprints (Chapnick, Corley 2025) with peer-reviewed publications. Flag preprint status in the reference list and in Table S1.</w:t>
      </w:r>
    </w:p>
    <w:p>
      <w:r>
        <w:t>m6. PRISMA item 14 (reporting bias assessment) is mapped to 'gate-failed' — the checklist should also note this explicitly in narrative form, not just by reference.</w:t>
      </w:r>
    </w:p>
    <w:p>
      <w:r>
        <w:t>m7. The Methods § Search omits exact date of API cache and number of records per source — supplementary detail expected by IJMR.</w:t>
      </w:r>
    </w:p>
    <w:p>
      <w:pPr>
        <w:pStyle w:val="Heading1"/>
      </w:pPr>
      <w:r>
        <w:t>Verdict: Major revisions</w:t>
      </w:r>
    </w:p>
    <w:p>
      <w:r>
        <w:t>The honesty architecture is sound and the work is publishable as a methodological-transparency synthesis. However, the framing of what is being estimated, the prior sensitivity, and the GRADE indirectness/imprecision double-count must be addressed before acceptance. None of these requires re-extraction; all are clarifications and one supplementary sensitivity table.</w:t>
      </w:r>
    </w:p>
    <w:p>
      <w:pPr>
        <w:pStyle w:val="Heading1"/>
      </w:pPr>
      <w:r>
        <w:t>Actionable recommendations</w:t>
      </w:r>
    </w:p>
    <w:p>
      <w:r>
        <w:t>R1. Add one sentence to Methods § Quantitative synthesis: 'Because the three pooled effects use different adjustment sets, the pooled estimate is interpreted descriptively, not as an estimate of a single causal contrast.'</w:t>
      </w:r>
    </w:p>
    <w:p>
      <w:r>
        <w:t>R2. Add a prior-sensitivity supplementary table for τ (half-normal 0.5, half-normal 1.0, half-Cauchy 0.5) and report whether the posterior median μ moves more than 0.02 pace-units.</w:t>
      </w:r>
    </w:p>
    <w:p>
      <w:r>
        <w:t>R3. Add a footnote to the PI in Results: 'PI computed for completeness; with k=3 and df=1, the PI is unstable and should not be used for decision-making.'</w:t>
      </w:r>
    </w:p>
    <w:p>
      <w:r>
        <w:t>R4. Add a single column to the GRADE table making explicit whether each downgrade is for 'statistical inconsistency' vs 'clinical applicability', resolving the indirectness/imprecision double-count concern.</w:t>
      </w:r>
    </w:p>
    <w:p>
      <w:r>
        <w:t>R5. Add to the Methods § Search a sentence stating: 'The binding constraint on this review was extraction yield, not search yield: of N records screened to full-text, only k=3 contributed adjusted between-group DunedinPACE effects with extractable SE/CI on the original scale.'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