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Peer Review 2 — Clinical Ageing Researcher / Geriatrician</w:t>
      </w:r>
    </w:p>
    <w:p>
      <w:r>
        <w:t>Manuscript: Human interventions and DNA-methylation ageing clocks: a Path-C systematic review and meta-analysis under strict honesty constraints</w:t>
      </w:r>
    </w:p>
    <w:p>
      <w:r>
        <w:t>Reviewer perspective: clinical ageing researcher / geriatrician with interest in biomarkers of biological age</w:t>
      </w:r>
    </w:p>
    <w:p>
      <w:r>
        <w:t>Date: 2026-05-18  |  Target journal: Indian Journal of Medical Research</w:t>
      </w:r>
    </w:p>
    <w:p>
      <w:pPr>
        <w:pStyle w:val="Heading1"/>
      </w:pPr>
      <w:r>
        <w:t>Overall assessment</w:t>
      </w:r>
    </w:p>
    <w:p>
      <w:r>
        <w:t>This review will be useful to clinicians precisely because it does not promise more than it can deliver. The DNAm-clock intervention literature is awash with press-release-friendly claims of 'reversing biological age by N years'. A rigorous null with a wide prediction interval, transparently reported, is a more valuable clinical message than any of those claims. That said, several aspects of how the result is communicated will determine whether geriatricians and trial-design committees actually take the right lessons home.</w:t>
      </w:r>
    </w:p>
    <w:p>
      <w:pPr>
        <w:pStyle w:val="Heading1"/>
      </w:pPr>
      <w:r>
        <w:t>Clinical relevance of the DunedinPACE null</w:t>
      </w:r>
    </w:p>
    <w:p>
      <w:r>
        <w:t>The pooled DunedinPACE DL μ = -0.009 (95% CI [-0.112, 0.094]) is, on the original pace-of-ageing scale, indistinguishable from no effect. To clinicians this needs to be communicated in two parts: (i) the CENTRAL estimate is null; (ii) the PREDICTION INTERVAL [-1.18, 1.16] is so wide that the data do not yet adjudicate whether any single intervention class can slow or accelerate pace-of-ageing. These two messages are different. The Abstract currently emphasises (i) and the Discussion adds (ii); for clinical readers, I would put both in the Abstract concluding sentence.</w:t>
      </w:r>
    </w:p>
    <w:p>
      <w:r>
        <w:t>The pooled studies are also clinically incoherent: a Guatemalan early-life nutrition cohort, a semaglutide trial in HIV-associated lipohypertrophy, and an internet-delivered parent-child interaction therapy. A geriatrician reading the forest plot needs to see those study labels and immediately understand that 'pooled' here does not mean 'a treatment effect a clinician can prescribe'.</w:t>
      </w:r>
    </w:p>
    <w:p>
      <w:pPr>
        <w:pStyle w:val="Heading1"/>
      </w:pPr>
      <w:r>
        <w:t>Translational implications</w:t>
      </w:r>
    </w:p>
    <w:p>
      <w:r>
        <w:t>When the pooled CI crosses null but the PI is wide, the correct clinical translation is: 'biomarker-driven anti-ageing trials should be designed with DNAm-clock endpoints PRE-SPECIFIED and POWERED, not added as exploratory secondary outcomes'. The manuscript edges toward this in its proposed reporting checklist (S10) but does not say it explicitly to the clinical reader. I recommend a single sentence in the Discussion that reads approximately: 'For practising clinicians and trial committees, the operational implication is that DNAm-clock outcomes should not yet be used as decision-grade evidence for any anti-ageing intervention; they should be treated as exploratory pharmacodynamic markers pending the next generation of pre-specified, powered, harmonised reports.'</w:t>
      </w:r>
    </w:p>
    <w:p>
      <w:pPr>
        <w:pStyle w:val="Heading1"/>
      </w:pPr>
      <w:r>
        <w:t>Should the three heterogeneous interventions ever have been pooled?</w:t>
      </w:r>
    </w:p>
    <w:p>
      <w:r>
        <w:t>Honestly, from a clinical-heterogeneity standpoint, no. The interventions act on completely different physiological substrates (developmental nutrition, GLP-1 agonism, behavioural therapy). The Discussion acknowledges this but the manuscript still presents a pooled point estimate as its headline result. A clinician scanning Table 1 may take μ = -0.009 as a 'finding'. I would prefer the manuscript to lead with: 'A pooled estimate was computed for transparency and to demonstrate the gate-pass behaviour; we explicitly caution against reading it as a treatment effect.' Then present the per-study effects as a narrative cluster.</w:t>
      </w:r>
    </w:p>
    <w:p>
      <w:r>
        <w:t>An alternative I would support: report the three studies side-by-side without forcing a pooled estimate, and let GRADE certify the qualitative conclusion ('Very low certainty for any pooled effect on DunedinPACE'). The current approach (pool + caveat) is defensible but the caveat needs more typographic weight.</w:t>
      </w:r>
    </w:p>
    <w:p>
      <w:pPr>
        <w:pStyle w:val="Heading1"/>
      </w:pPr>
      <w:r>
        <w:t>Does GRADE 'Very Low' fairly represent the evidence?</w:t>
      </w:r>
    </w:p>
    <w:p>
      <w:r>
        <w:t>Yes — possibly even generously. With k=3, I²=79%, heterogeneous adjustment sets, RoB pending, and an unstable τ² estimate, 'Very Low' is the correct floor. A clinician should read 'Very Low' as 'no clinical decision should hinge on this estimate'. The manuscript correctly does not downgrade publication bias (cannot be assessed at k&lt;10), and this is the right call rather than reporting a noisy Egger test.</w:t>
      </w:r>
    </w:p>
    <w:p>
      <w:r>
        <w:t>One concern: the GRADE summary in the Abstract reads 'GRADE certainty for DunedinPACE = Very Low'. Clinicians may parse this as 'low quality' rather than 'we don't have enough data'. The two are subtly different. Consider a parenthetical: '(Very Low — reflects sparse data, heterogeneity, and pending RoB rather than fatal study flaws).'</w:t>
      </w:r>
    </w:p>
    <w:p>
      <w:pPr>
        <w:pStyle w:val="Heading1"/>
      </w:pPr>
      <w:r>
        <w:t>Communication to clinicians — recommendations</w:t>
      </w:r>
    </w:p>
    <w:p>
      <w:r>
        <w:t>The single biggest clinical-communication risk in this manuscript is that a reader will quote 'no effect of interventions on DunedinPACE' from the Abstract. That is not what the review found. The review found that 'the available evidence does not yet support any pooled directional claim'. These two statements have very different consequences for whether a clinician offers, declines, or recommends an intervention.</w:t>
      </w:r>
    </w:p>
    <w:p>
      <w:pPr>
        <w:pStyle w:val="Heading1"/>
      </w:pPr>
      <w:r>
        <w:t>Minor clinical-communication points</w:t>
      </w:r>
    </w:p>
    <w:p>
      <w:r>
        <w:t>c1. The Introduction lists multiple intervention classes (CALERIE, TAME, semaglutide, etc.) as if they were equivalent candidates. Clinicians read this as 'these all work similarly on epigenetic age'. A clarifying line would help.</w:t>
      </w:r>
    </w:p>
    <w:p>
      <w:r>
        <w:t>c2. DunedinPACE units (pace per chronological year) are unfamiliar to most clinicians; a one-sentence interpretive aid in Results would help ('a pooled μ of -0.009 means, descriptively, that intervention arms aged 0.009 chronological years slower per chronological year than control — i.e., essentially zero').</w:t>
      </w:r>
    </w:p>
    <w:p>
      <w:r>
        <w:t>c3. The Conclusion mentions a 'minimal reporting checklist' (S10). This is the most actionable item for clinical-trial designers and deserves elevation into the main Discussion, not relegation to a supplement.</w:t>
      </w:r>
    </w:p>
    <w:p>
      <w:r>
        <w:t>c4. RoB 2 dual coding is pending — for IJMR's clinical readership, an explicit timeline ('will be completed and posted in the supplementary repository before peer-review acceptance') would build trust.</w:t>
      </w:r>
    </w:p>
    <w:p>
      <w:r>
        <w:t>c5. No mention of subgroup by age band of participants — clinically, the relevance of DunedinPACE in &lt;40-year-olds vs &gt;60-year-olds is unsettled. A sentence in Limitations would suffice.</w:t>
      </w:r>
    </w:p>
    <w:p>
      <w:pPr>
        <w:pStyle w:val="Heading1"/>
      </w:pPr>
      <w:r>
        <w:t>Verdict: Minor revisions</w:t>
      </w:r>
    </w:p>
    <w:p>
      <w:r>
        <w:t>The clinical content is honest and the methodological architecture is sound. The required changes are communication-focused, not analytic. From a clinical-evidence-translation standpoint, the manuscript can move to acceptance after addressing the three primary recommendations below.</w:t>
      </w:r>
    </w:p>
    <w:p>
      <w:pPr>
        <w:pStyle w:val="Heading1"/>
      </w:pPr>
      <w:r>
        <w:t>Actionable clinical recommendations</w:t>
      </w:r>
    </w:p>
    <w:p>
      <w:r>
        <w:t>C1. Rewrite the Abstract conclusion to include BOTH the null point estimate AND the wide-PI-no-clinical-decision message, in one sentence.</w:t>
      </w:r>
    </w:p>
    <w:p>
      <w:r>
        <w:t>C2. Add an explicit clinical-interpretability sentence to Discussion: 'DNAm-clock outcomes should be treated as exploratory pharmacodynamic markers, not decision-grade endpoints, until pre-specified harmonised trials are reported.'</w:t>
      </w:r>
    </w:p>
    <w:p>
      <w:r>
        <w:t>C3. Elevate the proposed minimal-reporting checklist (S10) into the Discussion with a one-paragraph rationale, not only as a supplementary file.</w:t>
      </w:r>
    </w:p>
    <w:p>
      <w:r>
        <w:t>C4. Add a parenthetical interpretive aid for the DunedinPACE pace-units to help non-epigenetics clinical readers.</w:t>
      </w:r>
    </w:p>
    <w:p>
      <w:r>
        <w:t>C5. Commit publicly in the Methods § Risk of bias to a timeline for completing dual RoB 2 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