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Figure File</w:t>
      </w:r>
    </w:p>
    <w:p>
      <w:r>
        <w:t>Figure 1. Screening progress flow for the frailty intervention review.</w:t>
      </w:r>
    </w:p>
    <w:p>
      <w:r>
        <w:drawing>
          <wp:inline xmlns:a="http://schemas.openxmlformats.org/drawingml/2006/main" xmlns:pic="http://schemas.openxmlformats.org/drawingml/2006/picture">
            <wp:extent cx="5943600" cy="3940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creening_progres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Records identified, screened and triaged through the current audit stage. This is not the final PRISMA flow diagram because full-text exclusions and final included studies remain pending.</w:t>
      </w:r>
    </w:p>
    <w:p>
      <w:r>
        <w:br w:type="page"/>
      </w:r>
    </w:p>
    <w:p>
      <w:r>
        <w:t>Figure 2. Preliminary intervention-node distribution.</w:t>
      </w:r>
    </w:p>
    <w:p>
      <w:r>
        <w:drawing>
          <wp:inline xmlns:a="http://schemas.openxmlformats.org/drawingml/2006/main" xmlns:pic="http://schemas.openxmlformats.org/drawingml/2006/picture">
            <wp:extent cx="5943600" cy="3535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reliminary_nod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Caption: Distribution of high-confidence candidate records and PMC-mined full texts by preliminary intervention node. Nodes require confirmation after full-text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