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Community-deliverable interventions for physical frailty in older adults: an IJMR-facing systematic review protocol-to-extraction manuscript with conditional component network meta-analysis and implementation-readiness mapping for Indian primary care</w:t>
      </w:r>
    </w:p>
    <w:p>
      <w:r>
        <w:t>Manuscript status: substantive working manuscript before final full-text extraction and synthesis.</w:t>
      </w:r>
    </w:p>
    <w:p>
      <w:r>
        <w:t>Authors: Dr Siddalingaiah H S; Dr Chandrakala D</w:t>
      </w:r>
    </w:p>
    <w:p>
      <w:r>
        <w:t>Target journal: Indian Journal of Medical Research</w:t>
      </w:r>
    </w:p>
    <w:p>
      <w:pPr>
        <w:pStyle w:val="Heading1"/>
      </w:pPr>
      <w:r>
        <w:t>Abstract</w:t>
      </w:r>
    </w:p>
    <w:p>
      <w:r>
        <w:t>Background and objectives: Physical frailty is a major geriatric syndrome associated with loss of independence, falls, disability and increased health-system use. Exercise, nutrition, digital support and multidomain programmes are widely studied, but Indian primary care needs evidence that distinguishes clinical efficacy from practical deliverability. The objective of this project is to conduct a systematic review of community-deliverable interventions for prefrail or frail older adults, with pairwise meta-analysis where appropriate, conditional component network meta-analysis only if network assumptions are satisfied, and structured implementation-readiness mapping for Indian primary care. Methods: We created an authenticated AI-assisted but author-verifiable workflow. PubMed was searched on 18 May 2026 for frailty, prefrailty, sarcopenia or functional-vulnerability terms combined with exercise, nutrition, multidomain, digital or home-based intervention terms and randomized-trial terms. Records were deduplicated, screened, prioritized, conservatively triaged and converted into dual-author extraction forms. Open-access PMC full texts were fetched and text-mined only as extraction aids. Results: PubMed reported 3425 hits; 3418 records were downloaded and deduplicated. Title/abstract screening flagged 1129 records as potentially relevant. A primary full-text queue of 297 records was reduced to 179 high-confidence extraction candidates. Ninety-five PMC full texts were fetched and mined; 84 records require publisher or library access. Preliminary intervention nodes with at least two candidate records included exercise-only, exercise plus nutrition, multidomain, nutrition-only, multicomponent exercise, multidomain exercise-nutrition, and digital/home-supported categories. Interpretation and conclusions: The evidence base appears large enough for a full systematic review and likely pairwise meta-analysis. However, no final efficacy, safety or NMA conclusion is made at this stage because protocol registration, full-text inclusion, numeric extraction, RoB 2 assessment, PRISMA 2020 completion, comparator connectivity and transitivity checks remain blocking requirements.</w:t>
      </w:r>
    </w:p>
    <w:p>
      <w:pPr>
        <w:pStyle w:val="Heading1"/>
      </w:pPr>
      <w:r>
        <w:t>Keywords</w:t>
      </w:r>
    </w:p>
    <w:p>
      <w:r>
        <w:t>frailty; older adults; exercise; nutrition; primary care; systematic review; network meta-analysis; India</w:t>
      </w:r>
    </w:p>
    <w:p>
      <w:pPr>
        <w:pStyle w:val="Heading1"/>
      </w:pPr>
      <w:r>
        <w:t>Introduction</w:t>
      </w:r>
    </w:p>
    <w:p>
      <w:r>
        <w:t>Frailty is a state of reduced physiological reserve in which older adults become vulnerable to stressors that would otherwise be tolerated. It is clinically important because it sits between robust ageing and disability, and because timely intervention may prevent decline before long-term dependence is established [1]. The physical frailty phenotype operationalized weight loss, exhaustion, weakness, slowness and low physical activity as measurable criteria and remains one of the most widely used trial definitions [2]. Deficit-accumulation models broaden the concept by representing frailty as the cumulative burden of symptoms, diseases and functional impairments [3]. Both traditions are useful, but they create heterogeneity for evidence synthesis because trials differ in eligibility criteria, baseline severity, outcomes and thresholds for frailty improvement.</w:t>
      </w:r>
    </w:p>
    <w:p>
      <w:r>
        <w:t>The practical relevance for India is direct. India has a large and rapidly growing older population, with increasing multimorbidity, functional limitation and demand for home- and community-based support. Interventions that are effective in a university laboratory, tertiary hospital or high-resource geriatric service may not be deliverable through Health and Wellness Centres, community health workers, families or primary-care teams. A review intended for Indian policy and clinical practice must therefore ask not only whether an intervention improves frailty or physical function, but also whether it can be delivered with feasible workforce, equipment, safety monitoring, adherence support and procurement requirements.</w:t>
      </w:r>
    </w:p>
    <w:p>
      <w:r>
        <w:t>Existing reviews support the general promise of exercise, nutrition and multicomponent interventions, but their conclusions do not remove the need for this India-facing synthesis. Recent systematic reviews and meta-analyses have examined multicomponent exercise and nutritional supplementation for community-dwelling older adults [4], community-based exercise in prefrail older adults [5], and multicomponent exercise in frail older adults [6]. Network and component network meta-analyses have also begun to compare intervention classes and isolate components [7,8]. These reviews are valuable, but they mostly prioritize global comparative effectiveness. They usually do not provide a structured implementation-readiness map for Indian primary care, and they may combine settings, populations and intervention intensities that are not operationally equivalent in low-resource systems.</w:t>
      </w:r>
    </w:p>
    <w:p>
      <w:r>
        <w:t>The novelty of the present project is therefore deliberately narrow and pragmatic. It is not another generic frailty intervention ranking. The planned contribution is a systematic review and synthesis that separates efficacy, safety, adherence and deliverability; uses component coding only after full-text extraction; and reports NMA only if the evidence network is connected and clinically coherent. This manuscript version documents the protocol-to-extraction workflow, authenticated search and triage outputs, and the submission-readiness audit. It is a substantive working manuscript, not a final results paper.</w:t>
      </w:r>
    </w:p>
    <w:p>
      <w:pPr>
        <w:pStyle w:val="Heading1"/>
      </w:pPr>
      <w:r>
        <w:t>Methods</w:t>
      </w:r>
    </w:p>
    <w:p>
      <w:r>
        <w:t>Design and reporting framework. The project is designed as a systematic review of randomized or cluster-randomized trials, with pairwise random-effects meta-analysis where outcomes are sufficiently compatible. Component network meta-analysis is a conditional objective and will be attempted only if final extraction confirms a connected network, clinically coherent nodes and acceptable transitivity. The final report will follow PRISMA 2020 [9]. If NMA proceeds, PRISMA-NMA reporting will also be used [10]. Risk of bias for randomized trials will use Cochrane RoB 2 [11]. The target journal is Indian Journal of Medical Research, whose author instructions list systematic reviews including meta-analysis among accepted article categories and require technical compliance before peer review [12].</w:t>
      </w:r>
    </w:p>
    <w:p>
      <w:r>
        <w:t>Review question. Among prefrail or frail older adults, which community-deliverable exercise, nutrition, digital, caregiver-supported or multidomain interventions improve frailty status and physical function, and which components appear feasible for Indian or LMIC primary care? The review is deliberately anchored to implementation because the same effect size may imply different policy value depending on whether the intervention requires specialist facilities, proprietary supplements, intensive supervision or equipment.</w:t>
      </w:r>
    </w:p>
    <w:p>
      <w:r>
        <w:t>Eligibility criteria. Eligible primary studies will be randomized or cluster-randomized trials enrolling adults aged 60 years or older, or trials with mean participant age at least 65 years, where participants are prefrail, frail, physically frail, sarcopenic with frailty features, or functionally vulnerable. The primary settings are community, home, outpatient and primary-care settings. Residential-care and hospital/post-acute rehabilitation studies will not drive the primary conclusion, but may be retained for sensitivity analysis or network-connectivity assessment if clinically defensible. Disease-specific rehabilitation trials will be excluded from the primary set unless frailty is an explicit target and the intervention is generalizable beyond disease rehabilitation.</w:t>
      </w:r>
    </w:p>
    <w:p>
      <w:r>
        <w:t>Intervention categories. The planned intervention nodes are exercise-only, multicomponent exercise, nutrition-only, exercise plus nutrition, multidomain interventions, mind-body physical activity, digital or home-supported interventions, and usual-care or attention-control comparators. These labels are preliminary until full texts confirm actual components, dose, personnel, supervision, equipment and comparator content. Comparator wording will be extracted literally before any node collapse.</w:t>
      </w:r>
    </w:p>
    <w:p>
      <w:r>
        <w:t>Outcomes. Primary outcomes are frailty reversal or frailty-status improvement, frailty score, gait speed, Short Physical Performance Battery (SPPB), and grip strength. Secondary outcomes include activities of daily living, instrumental activities of daily living, falls, quality of life, adherence, dropout and adverse events. For continuous outcomes, arm-level mean, standard deviation and sample size will be extracted. For binary outcomes, event counts and denominators will be extracted. Change scores and endpoint scores will be handled using a prespecified hierarchy to avoid inappropriate pooling.</w:t>
      </w:r>
    </w:p>
    <w:p>
      <w:r>
        <w:t>Search strategy. PubMed was searched on 18 May 2026 using title/abstract terms for frailty, prefrailty, physical frailty, frailty status, frailty phenotype, sarcopenia and functional decline; intervention terms for exercise, resistance training, strength training, balance, walking, aerobic activity, multicomponent exercise, Tai Chi, nutrition, protein, leucine, HMB, vitamin D, multidomain intervention, comprehensive geriatric assessment, mHealth, digital and home-based delivery; randomized-trial terms; and older-adult setting terms. The exact PubMed query is preserved in the search log. A final submission-grade review should add CENTRAL, Embase or Scopus/Web of Science, trial registries and citation chasing, or explicitly justify a narrower rapid-review design.</w:t>
      </w:r>
    </w:p>
    <w:p>
      <w:r>
        <w:t>AI-assisted workflow and author verification. AI-assisted scripts were used to parse PubMed XML, deduplicate records, classify title/abstract records, prioritize full-text queues, fetch available PMC XML full texts, mine snippets and create extraction forms. These steps are audit aids, not final review decisions. Final inclusion, exclusion, risk of bias, effect-size extraction and interpretation require author verification by Dr Siddalingaiah H S and Dr Chandrakala D. The generated dual-author forms allocate each study to a primary and second reviewer, with joint consensus for arbitration.</w:t>
      </w:r>
    </w:p>
    <w:p>
      <w:r>
        <w:t>Implementation-readiness mapping. Each included intervention will be scored for Indian primary-care deliverability across seven domains: delivery setting, workforce fit, equipment burden, dose clarity, safety monitoring, adherence feasibility and procurement burden. Each domain is scored 0 to 2, where 2 indicates greater feasibility. The readiness score will not be interpreted as efficacy; it will be presented alongside effect estimates and certainty to avoid conflating clinical benefit with deliverability.</w:t>
      </w:r>
    </w:p>
    <w:p>
      <w:r>
        <w:t>Planned synthesis. Pairwise random-effects meta-analysis will be performed only where outcome definitions, timepoints and effect measures are sufficiently compatible. Heterogeneity will be assessed clinically and statistically. NMA will proceed only if comparator extraction shows a connected network and if transitivity is credible across baseline frailty severity, setting, intervention dose, supervision, follow-up and comparator intensity. If these criteria fail, the review will report a no-NMA audit and retain pairwise synthesis plus implementation mapping.</w:t>
      </w:r>
    </w:p>
    <w:p>
      <w:pPr>
        <w:pStyle w:val="Heading2"/>
      </w:pPr>
      <w:r>
        <w:t>Table 1. Review Question and Eligibility Framework</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Specification</w:t>
            </w:r>
          </w:p>
        </w:tc>
      </w:tr>
      <w:tr>
        <w:tc>
          <w:tcPr>
            <w:tcW w:type="dxa" w:w="4320"/>
          </w:tcPr>
          <w:p>
            <w:r>
              <w:t>Population</w:t>
            </w:r>
          </w:p>
        </w:tc>
        <w:tc>
          <w:tcPr>
            <w:tcW w:type="dxa" w:w="4320"/>
          </w:tcPr>
          <w:p>
            <w:r>
              <w:t>Adults aged &gt;=60 years, or mean age &gt;=65 years, with prefrailty, frailty, physical frailty, sarcopenic/frail status or functional vulnerability</w:t>
            </w:r>
          </w:p>
        </w:tc>
      </w:tr>
      <w:tr>
        <w:tc>
          <w:tcPr>
            <w:tcW w:type="dxa" w:w="4320"/>
          </w:tcPr>
          <w:p>
            <w:r>
              <w:t>Interventions</w:t>
            </w:r>
          </w:p>
        </w:tc>
        <w:tc>
          <w:tcPr>
            <w:tcW w:type="dxa" w:w="4320"/>
          </w:tcPr>
          <w:p>
            <w:r>
              <w:t>Exercise, multicomponent exercise, nutrition, exercise plus nutrition, multidomain, mind-body, digital or home-supported interventions</w:t>
            </w:r>
          </w:p>
        </w:tc>
      </w:tr>
      <w:tr>
        <w:tc>
          <w:tcPr>
            <w:tcW w:type="dxa" w:w="4320"/>
          </w:tcPr>
          <w:p>
            <w:r>
              <w:t>Comparators</w:t>
            </w:r>
          </w:p>
        </w:tc>
        <w:tc>
          <w:tcPr>
            <w:tcW w:type="dxa" w:w="4320"/>
          </w:tcPr>
          <w:p>
            <w:r>
              <w:t>Usual care, health education, attention control, placebo supplement, no intervention, alternative active intervention</w:t>
            </w:r>
          </w:p>
        </w:tc>
      </w:tr>
      <w:tr>
        <w:tc>
          <w:tcPr>
            <w:tcW w:type="dxa" w:w="4320"/>
          </w:tcPr>
          <w:p>
            <w:r>
              <w:t>Primary outcomes</w:t>
            </w:r>
          </w:p>
        </w:tc>
        <w:tc>
          <w:tcPr>
            <w:tcW w:type="dxa" w:w="4320"/>
          </w:tcPr>
          <w:p>
            <w:r>
              <w:t>Frailty reversal/status, frailty score, gait speed, SPPB, grip strength</w:t>
            </w:r>
          </w:p>
        </w:tc>
      </w:tr>
      <w:tr>
        <w:tc>
          <w:tcPr>
            <w:tcW w:type="dxa" w:w="4320"/>
          </w:tcPr>
          <w:p>
            <w:r>
              <w:t>Secondary outcomes</w:t>
            </w:r>
          </w:p>
        </w:tc>
        <w:tc>
          <w:tcPr>
            <w:tcW w:type="dxa" w:w="4320"/>
          </w:tcPr>
          <w:p>
            <w:r>
              <w:t>ADL/IADL, falls, quality of life, adherence, dropout, adverse events</w:t>
            </w:r>
          </w:p>
        </w:tc>
      </w:tr>
      <w:tr>
        <w:tc>
          <w:tcPr>
            <w:tcW w:type="dxa" w:w="4320"/>
          </w:tcPr>
          <w:p>
            <w:r>
              <w:t>Primary settings</w:t>
            </w:r>
          </w:p>
        </w:tc>
        <w:tc>
          <w:tcPr>
            <w:tcW w:type="dxa" w:w="4320"/>
          </w:tcPr>
          <w:p>
            <w:r>
              <w:t>Community, home, outpatient, primary care</w:t>
            </w:r>
          </w:p>
        </w:tc>
      </w:tr>
      <w:tr>
        <w:tc>
          <w:tcPr>
            <w:tcW w:type="dxa" w:w="4320"/>
          </w:tcPr>
          <w:p>
            <w:r>
              <w:t>Primary synthesis</w:t>
            </w:r>
          </w:p>
        </w:tc>
        <w:tc>
          <w:tcPr>
            <w:tcW w:type="dxa" w:w="4320"/>
          </w:tcPr>
          <w:p>
            <w:r>
              <w:t>Pairwise random-effects meta-analysis where compatible</w:t>
            </w:r>
          </w:p>
        </w:tc>
      </w:tr>
      <w:tr>
        <w:tc>
          <w:tcPr>
            <w:tcW w:type="dxa" w:w="4320"/>
          </w:tcPr>
          <w:p>
            <w:r>
              <w:t>Conditional synthesis</w:t>
            </w:r>
          </w:p>
        </w:tc>
        <w:tc>
          <w:tcPr>
            <w:tcW w:type="dxa" w:w="4320"/>
          </w:tcPr>
          <w:p>
            <w:r>
              <w:t>Component NMA only if connectivity and transitivity are confirmed</w:t>
            </w:r>
          </w:p>
        </w:tc>
      </w:tr>
    </w:tbl>
    <w:p>
      <w:pPr>
        <w:pStyle w:val="Heading1"/>
      </w:pPr>
      <w:r>
        <w:t>Current Authenticated Results</w:t>
      </w:r>
    </w:p>
    <w:p>
      <w:r>
        <w:t>The authenticated PubMed workflow produced a large candidate evidence base. PubMed reported 3425 hits and 3418 records were downloaded. No duplicate PMIDs were found in the downloaded screened records. Title/abstract screening classified 1129 records as potentially relevant, with additional records retained as review context, protocol context, possible nonrandomized evidence or outcome-unclear material.</w:t>
      </w:r>
    </w:p>
    <w:p>
      <w:r>
        <w:t>Priority triage identified 297 records in the primary full-text queue, 210 in a secondary frailty queue, 97 community sarcopenia secondary records and 123 sarcopenia context records. A stricter second-pass triage of the primary queue identified 235 extraction candidates, with the remaining records assigned to secondary setting, disease-specific, citation-context or exclusion categories. A conservative high-confidence triage then identified 179 extraction candidates and 118 records for exclusion before extraction.</w:t>
      </w:r>
    </w:p>
    <w:p>
      <w:r>
        <w:t>Open-access full-text availability was substantial but incomplete. Of the 179 high-confidence candidates, 95 had PMC full texts fetched and successfully mined; 84 require publisher or library access. The mined full texts were used to identify methods, randomization, intervention, comparator, results, outcome and table snippets. These snippets are useful for extraction preparation, but they are not substitutes for author verification or numeric extraction.</w:t>
      </w:r>
    </w:p>
    <w:p>
      <w:r>
        <w:t>Preliminary intervention nodes were distributed across clinically plausible categories. Exercise-only and exercise plus nutrition were the largest candidate groups, followed by multidomain, nutrition-only, multicomponent exercise, multidomain exercise-nutrition and digital/home-supported categories. This preliminary spread supports feasibility of component coding. It does not prove that NMA is valid, because comparator nodes, outcome harmonisation and transitivity remain unassessed.</w:t>
      </w:r>
    </w:p>
    <w:p>
      <w:pPr>
        <w:pStyle w:val="Heading2"/>
      </w:pPr>
      <w:r>
        <w:t>Table 2. Authenticated Workflow Counts</w:t>
      </w:r>
    </w:p>
    <w:tbl>
      <w:tblPr>
        <w:tblStyle w:val="TableGrid"/>
        <w:tblW w:type="auto" w:w="0"/>
        <w:tblLook w:firstColumn="1" w:firstRow="1" w:lastColumn="0" w:lastRow="0" w:noHBand="0" w:noVBand="1" w:val="04A0"/>
      </w:tblPr>
      <w:tblGrid>
        <w:gridCol w:w="4320"/>
        <w:gridCol w:w="4320"/>
      </w:tblGrid>
      <w:tr>
        <w:tc>
          <w:tcPr>
            <w:tcW w:type="dxa" w:w="4320"/>
          </w:tcPr>
          <w:p>
            <w:r>
              <w:t>Workflow item</w:t>
            </w:r>
          </w:p>
        </w:tc>
        <w:tc>
          <w:tcPr>
            <w:tcW w:type="dxa" w:w="4320"/>
          </w:tcPr>
          <w:p>
            <w:r>
              <w:t>Count</w:t>
            </w:r>
          </w:p>
        </w:tc>
      </w:tr>
      <w:tr>
        <w:tc>
          <w:tcPr>
            <w:tcW w:type="dxa" w:w="4320"/>
          </w:tcPr>
          <w:p>
            <w:r>
              <w:t>PubMed hits reported</w:t>
            </w:r>
          </w:p>
        </w:tc>
        <w:tc>
          <w:tcPr>
            <w:tcW w:type="dxa" w:w="4320"/>
          </w:tcPr>
          <w:p>
            <w:r>
              <w:t>3425</w:t>
            </w:r>
          </w:p>
        </w:tc>
      </w:tr>
      <w:tr>
        <w:tc>
          <w:tcPr>
            <w:tcW w:type="dxa" w:w="4320"/>
          </w:tcPr>
          <w:p>
            <w:r>
              <w:t>Records downloaded</w:t>
            </w:r>
          </w:p>
        </w:tc>
        <w:tc>
          <w:tcPr>
            <w:tcW w:type="dxa" w:w="4320"/>
          </w:tcPr>
          <w:p>
            <w:r>
              <w:t>3418</w:t>
            </w:r>
          </w:p>
        </w:tc>
      </w:tr>
      <w:tr>
        <w:tc>
          <w:tcPr>
            <w:tcW w:type="dxa" w:w="4320"/>
          </w:tcPr>
          <w:p>
            <w:r>
              <w:t>Deduplicated records</w:t>
            </w:r>
          </w:p>
        </w:tc>
        <w:tc>
          <w:tcPr>
            <w:tcW w:type="dxa" w:w="4320"/>
          </w:tcPr>
          <w:p>
            <w:r>
              <w:t>3418</w:t>
            </w:r>
          </w:p>
        </w:tc>
      </w:tr>
      <w:tr>
        <w:tc>
          <w:tcPr>
            <w:tcW w:type="dxa" w:w="4320"/>
          </w:tcPr>
          <w:p>
            <w:r>
              <w:t>Title/abstract records flagged potentially relevant</w:t>
            </w:r>
          </w:p>
        </w:tc>
        <w:tc>
          <w:tcPr>
            <w:tcW w:type="dxa" w:w="4320"/>
          </w:tcPr>
          <w:p>
            <w:r>
              <w:t>1129</w:t>
            </w:r>
          </w:p>
        </w:tc>
      </w:tr>
      <w:tr>
        <w:tc>
          <w:tcPr>
            <w:tcW w:type="dxa" w:w="4320"/>
          </w:tcPr>
          <w:p>
            <w:r>
              <w:t>Primary full-text queue</w:t>
            </w:r>
          </w:p>
        </w:tc>
        <w:tc>
          <w:tcPr>
            <w:tcW w:type="dxa" w:w="4320"/>
          </w:tcPr>
          <w:p>
            <w:r>
              <w:t>297</w:t>
            </w:r>
          </w:p>
        </w:tc>
      </w:tr>
      <w:tr>
        <w:tc>
          <w:tcPr>
            <w:tcW w:type="dxa" w:w="4320"/>
          </w:tcPr>
          <w:p>
            <w:r>
              <w:t>Second-pass extraction candidates</w:t>
            </w:r>
          </w:p>
        </w:tc>
        <w:tc>
          <w:tcPr>
            <w:tcW w:type="dxa" w:w="4320"/>
          </w:tcPr>
          <w:p>
            <w:r>
              <w:t>235</w:t>
            </w:r>
          </w:p>
        </w:tc>
      </w:tr>
      <w:tr>
        <w:tc>
          <w:tcPr>
            <w:tcW w:type="dxa" w:w="4320"/>
          </w:tcPr>
          <w:p>
            <w:r>
              <w:t>High-confidence extraction candidates</w:t>
            </w:r>
          </w:p>
        </w:tc>
        <w:tc>
          <w:tcPr>
            <w:tcW w:type="dxa" w:w="4320"/>
          </w:tcPr>
          <w:p>
            <w:r>
              <w:t>179</w:t>
            </w:r>
          </w:p>
        </w:tc>
      </w:tr>
      <w:tr>
        <w:tc>
          <w:tcPr>
            <w:tcW w:type="dxa" w:w="4320"/>
          </w:tcPr>
          <w:p>
            <w:r>
              <w:t>PMC full texts fetched and mined</w:t>
            </w:r>
          </w:p>
        </w:tc>
        <w:tc>
          <w:tcPr>
            <w:tcW w:type="dxa" w:w="4320"/>
          </w:tcPr>
          <w:p>
            <w:r>
              <w:t>95</w:t>
            </w:r>
          </w:p>
        </w:tc>
      </w:tr>
      <w:tr>
        <w:tc>
          <w:tcPr>
            <w:tcW w:type="dxa" w:w="4320"/>
          </w:tcPr>
          <w:p>
            <w:r>
              <w:t>Publisher/library full texts required</w:t>
            </w:r>
          </w:p>
        </w:tc>
        <w:tc>
          <w:tcPr>
            <w:tcW w:type="dxa" w:w="4320"/>
          </w:tcPr>
          <w:p>
            <w:r>
              <w:t>84</w:t>
            </w:r>
          </w:p>
        </w:tc>
      </w:tr>
    </w:tbl>
    <w:p>
      <w:pPr>
        <w:pStyle w:val="Heading2"/>
      </w:pPr>
      <w:r>
        <w:t>Table 3. Preliminary Intervention-Node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Preliminary node</w:t>
            </w:r>
          </w:p>
        </w:tc>
        <w:tc>
          <w:tcPr>
            <w:tcW w:type="dxa" w:w="2880"/>
          </w:tcPr>
          <w:p>
            <w:r>
              <w:t>Candidate records</w:t>
            </w:r>
          </w:p>
        </w:tc>
        <w:tc>
          <w:tcPr>
            <w:tcW w:type="dxa" w:w="2880"/>
          </w:tcPr>
          <w:p>
            <w:r>
              <w:t>PMC-mined full texts</w:t>
            </w:r>
          </w:p>
        </w:tc>
      </w:tr>
      <w:tr>
        <w:tc>
          <w:tcPr>
            <w:tcW w:type="dxa" w:w="2880"/>
          </w:tcPr>
          <w:p>
            <w:r>
              <w:t>exercise_only</w:t>
            </w:r>
          </w:p>
        </w:tc>
        <w:tc>
          <w:tcPr>
            <w:tcW w:type="dxa" w:w="2880"/>
          </w:tcPr>
          <w:p>
            <w:r>
              <w:t>63</w:t>
            </w:r>
          </w:p>
        </w:tc>
        <w:tc>
          <w:tcPr>
            <w:tcW w:type="dxa" w:w="2880"/>
          </w:tcPr>
          <w:p>
            <w:r>
              <w:t>28</w:t>
            </w:r>
          </w:p>
        </w:tc>
      </w:tr>
      <w:tr>
        <w:tc>
          <w:tcPr>
            <w:tcW w:type="dxa" w:w="2880"/>
          </w:tcPr>
          <w:p>
            <w:r>
              <w:t>exercise_plus_nutrition</w:t>
            </w:r>
          </w:p>
        </w:tc>
        <w:tc>
          <w:tcPr>
            <w:tcW w:type="dxa" w:w="2880"/>
          </w:tcPr>
          <w:p>
            <w:r>
              <w:t>57</w:t>
            </w:r>
          </w:p>
        </w:tc>
        <w:tc>
          <w:tcPr>
            <w:tcW w:type="dxa" w:w="2880"/>
          </w:tcPr>
          <w:p>
            <w:r>
              <w:t>30</w:t>
            </w:r>
          </w:p>
        </w:tc>
      </w:tr>
      <w:tr>
        <w:tc>
          <w:tcPr>
            <w:tcW w:type="dxa" w:w="2880"/>
          </w:tcPr>
          <w:p>
            <w:r>
              <w:t>multidomain</w:t>
            </w:r>
          </w:p>
        </w:tc>
        <w:tc>
          <w:tcPr>
            <w:tcW w:type="dxa" w:w="2880"/>
          </w:tcPr>
          <w:p>
            <w:r>
              <w:t>15</w:t>
            </w:r>
          </w:p>
        </w:tc>
        <w:tc>
          <w:tcPr>
            <w:tcW w:type="dxa" w:w="2880"/>
          </w:tcPr>
          <w:p>
            <w:r>
              <w:t>11</w:t>
            </w:r>
          </w:p>
        </w:tc>
      </w:tr>
      <w:tr>
        <w:tc>
          <w:tcPr>
            <w:tcW w:type="dxa" w:w="2880"/>
          </w:tcPr>
          <w:p>
            <w:r>
              <w:t>nutrition_only</w:t>
            </w:r>
          </w:p>
        </w:tc>
        <w:tc>
          <w:tcPr>
            <w:tcW w:type="dxa" w:w="2880"/>
          </w:tcPr>
          <w:p>
            <w:r>
              <w:t>14</w:t>
            </w:r>
          </w:p>
        </w:tc>
        <w:tc>
          <w:tcPr>
            <w:tcW w:type="dxa" w:w="2880"/>
          </w:tcPr>
          <w:p>
            <w:r>
              <w:t>8</w:t>
            </w:r>
          </w:p>
        </w:tc>
      </w:tr>
      <w:tr>
        <w:tc>
          <w:tcPr>
            <w:tcW w:type="dxa" w:w="2880"/>
          </w:tcPr>
          <w:p>
            <w:r>
              <w:t>multicomponent_exercise</w:t>
            </w:r>
          </w:p>
        </w:tc>
        <w:tc>
          <w:tcPr>
            <w:tcW w:type="dxa" w:w="2880"/>
          </w:tcPr>
          <w:p>
            <w:r>
              <w:t>13</w:t>
            </w:r>
          </w:p>
        </w:tc>
        <w:tc>
          <w:tcPr>
            <w:tcW w:type="dxa" w:w="2880"/>
          </w:tcPr>
          <w:p>
            <w:r>
              <w:t>5</w:t>
            </w:r>
          </w:p>
        </w:tc>
      </w:tr>
      <w:tr>
        <w:tc>
          <w:tcPr>
            <w:tcW w:type="dxa" w:w="2880"/>
          </w:tcPr>
          <w:p>
            <w:r>
              <w:t>multidomain_exercise_nutrition</w:t>
            </w:r>
          </w:p>
        </w:tc>
        <w:tc>
          <w:tcPr>
            <w:tcW w:type="dxa" w:w="2880"/>
          </w:tcPr>
          <w:p>
            <w:r>
              <w:t>8</w:t>
            </w:r>
          </w:p>
        </w:tc>
        <w:tc>
          <w:tcPr>
            <w:tcW w:type="dxa" w:w="2880"/>
          </w:tcPr>
          <w:p>
            <w:r>
              <w:t>7</w:t>
            </w:r>
          </w:p>
        </w:tc>
      </w:tr>
      <w:tr>
        <w:tc>
          <w:tcPr>
            <w:tcW w:type="dxa" w:w="2880"/>
          </w:tcPr>
          <w:p>
            <w:r>
              <w:t>digital_home_unclear_intervention</w:t>
            </w:r>
          </w:p>
        </w:tc>
        <w:tc>
          <w:tcPr>
            <w:tcW w:type="dxa" w:w="2880"/>
          </w:tcPr>
          <w:p>
            <w:r>
              <w:t>6</w:t>
            </w:r>
          </w:p>
        </w:tc>
        <w:tc>
          <w:tcPr>
            <w:tcW w:type="dxa" w:w="2880"/>
          </w:tcPr>
          <w:p>
            <w:r>
              <w:t>5</w:t>
            </w:r>
          </w:p>
        </w:tc>
      </w:tr>
      <w:tr>
        <w:tc>
          <w:tcPr>
            <w:tcW w:type="dxa" w:w="2880"/>
          </w:tcPr>
          <w:p>
            <w:r>
              <w:t>unclear</w:t>
            </w:r>
          </w:p>
        </w:tc>
        <w:tc>
          <w:tcPr>
            <w:tcW w:type="dxa" w:w="2880"/>
          </w:tcPr>
          <w:p>
            <w:r>
              <w:t>3</w:t>
            </w:r>
          </w:p>
        </w:tc>
        <w:tc>
          <w:tcPr>
            <w:tcW w:type="dxa" w:w="2880"/>
          </w:tcPr>
          <w:p>
            <w:r>
              <w:t>1</w:t>
            </w:r>
          </w:p>
        </w:tc>
      </w:tr>
    </w:tbl>
    <w:p>
      <w:pPr>
        <w:pStyle w:val="Heading1"/>
      </w:pPr>
      <w:r>
        <w:t>Submission-Readiness and Evidence-Gate Audit</w:t>
      </w:r>
    </w:p>
    <w:p>
      <w:r>
        <w:t>The project passed structural and data-consistency checks but failed submission readiness because core scientific steps remain incomplete. The audit found 19 passing checks, no warnings and no file failures. The blocking items are not clerical: they are substantive evidence gates.</w:t>
      </w:r>
    </w:p>
    <w:p>
      <w:r>
        <w:t>First, final full-text inclusion decisions are not complete. Second, no converted effect sizes have been extracted from the 1969 outcome rows. Third, no RoB 2 judgements have been completed across the 1074 domain rows. Fourth, no protocol registration number is present. Fifth, the final PRISMA 2020 checklist and flow diagram cannot be completed until full-text exclusions and final included studies are known.</w:t>
      </w:r>
    </w:p>
    <w:p>
      <w:r>
        <w:t>This is the correct place to stop before submission. A polished but unsupported manuscript would be scientifically fragile and likely to fail journal technical or statistical review. The strengthened asset package therefore separates what is already authenticated from what remains pending, and it uses the current manuscript as a serious working draft rather than a final claims document.</w:t>
      </w:r>
    </w:p>
    <w:p>
      <w:pPr>
        <w:pStyle w:val="Heading2"/>
      </w:pPr>
      <w:r>
        <w:t>Table 4. Blocking Evidence Gates</w:t>
      </w:r>
    </w:p>
    <w:tbl>
      <w:tblPr>
        <w:tblStyle w:val="TableGrid"/>
        <w:tblW w:type="auto" w:w="0"/>
        <w:tblLook w:firstColumn="1" w:firstRow="1" w:lastColumn="0" w:lastRow="0" w:noHBand="0" w:noVBand="1" w:val="04A0"/>
      </w:tblPr>
      <w:tblGrid>
        <w:gridCol w:w="2880"/>
        <w:gridCol w:w="2880"/>
        <w:gridCol w:w="2880"/>
      </w:tblGrid>
      <w:tr>
        <w:tc>
          <w:tcPr>
            <w:tcW w:type="dxa" w:w="2880"/>
          </w:tcPr>
          <w:p>
            <w:r>
              <w:t>Gate</w:t>
            </w:r>
          </w:p>
        </w:tc>
        <w:tc>
          <w:tcPr>
            <w:tcW w:type="dxa" w:w="2880"/>
          </w:tcPr>
          <w:p>
            <w:r>
              <w:t>Current status</w:t>
            </w:r>
          </w:p>
        </w:tc>
        <w:tc>
          <w:tcPr>
            <w:tcW w:type="dxa" w:w="2880"/>
          </w:tcPr>
          <w:p>
            <w:r>
              <w:t>Implication</w:t>
            </w:r>
          </w:p>
        </w:tc>
      </w:tr>
      <w:tr>
        <w:tc>
          <w:tcPr>
            <w:tcW w:type="dxa" w:w="2880"/>
          </w:tcPr>
          <w:p>
            <w:r>
              <w:t>Protocol registration</w:t>
            </w:r>
          </w:p>
        </w:tc>
        <w:tc>
          <w:tcPr>
            <w:tcW w:type="dxa" w:w="2880"/>
          </w:tcPr>
          <w:p>
            <w:r>
              <w:t>Pending</w:t>
            </w:r>
          </w:p>
        </w:tc>
        <w:tc>
          <w:tcPr>
            <w:tcW w:type="dxa" w:w="2880"/>
          </w:tcPr>
          <w:p>
            <w:r>
              <w:t>Required before IJMR submission</w:t>
            </w:r>
          </w:p>
        </w:tc>
      </w:tr>
      <w:tr>
        <w:tc>
          <w:tcPr>
            <w:tcW w:type="dxa" w:w="2880"/>
          </w:tcPr>
          <w:p>
            <w:r>
              <w:t>Final full-text decisions</w:t>
            </w:r>
          </w:p>
        </w:tc>
        <w:tc>
          <w:tcPr>
            <w:tcW w:type="dxa" w:w="2880"/>
          </w:tcPr>
          <w:p>
            <w:r>
              <w:t>0/179 completed</w:t>
            </w:r>
          </w:p>
        </w:tc>
        <w:tc>
          <w:tcPr>
            <w:tcW w:type="dxa" w:w="2880"/>
          </w:tcPr>
          <w:p>
            <w:r>
              <w:t>Required before final PRISMA flow</w:t>
            </w:r>
          </w:p>
        </w:tc>
      </w:tr>
      <w:tr>
        <w:tc>
          <w:tcPr>
            <w:tcW w:type="dxa" w:w="2880"/>
          </w:tcPr>
          <w:p>
            <w:r>
              <w:t>Numeric effect extraction</w:t>
            </w:r>
          </w:p>
        </w:tc>
        <w:tc>
          <w:tcPr>
            <w:tcW w:type="dxa" w:w="2880"/>
          </w:tcPr>
          <w:p>
            <w:r>
              <w:t>0/1969 converted effect sizes</w:t>
            </w:r>
          </w:p>
        </w:tc>
        <w:tc>
          <w:tcPr>
            <w:tcW w:type="dxa" w:w="2880"/>
          </w:tcPr>
          <w:p>
            <w:r>
              <w:t>Required before meta-analysis</w:t>
            </w:r>
          </w:p>
        </w:tc>
      </w:tr>
      <w:tr>
        <w:tc>
          <w:tcPr>
            <w:tcW w:type="dxa" w:w="2880"/>
          </w:tcPr>
          <w:p>
            <w:r>
              <w:t>RoB 2 assessment</w:t>
            </w:r>
          </w:p>
        </w:tc>
        <w:tc>
          <w:tcPr>
            <w:tcW w:type="dxa" w:w="2880"/>
          </w:tcPr>
          <w:p>
            <w:r>
              <w:t>0/1074 judgements</w:t>
            </w:r>
          </w:p>
        </w:tc>
        <w:tc>
          <w:tcPr>
            <w:tcW w:type="dxa" w:w="2880"/>
          </w:tcPr>
          <w:p>
            <w:r>
              <w:t>Required before inference</w:t>
            </w:r>
          </w:p>
        </w:tc>
      </w:tr>
      <w:tr>
        <w:tc>
          <w:tcPr>
            <w:tcW w:type="dxa" w:w="2880"/>
          </w:tcPr>
          <w:p>
            <w:r>
              <w:t>NMA connectivity/transitivity</w:t>
            </w:r>
          </w:p>
        </w:tc>
        <w:tc>
          <w:tcPr>
            <w:tcW w:type="dxa" w:w="2880"/>
          </w:tcPr>
          <w:p>
            <w:r>
              <w:t>Not assessed</w:t>
            </w:r>
          </w:p>
        </w:tc>
        <w:tc>
          <w:tcPr>
            <w:tcW w:type="dxa" w:w="2880"/>
          </w:tcPr>
          <w:p>
            <w:r>
              <w:t>Required before NMA</w:t>
            </w:r>
          </w:p>
        </w:tc>
      </w:tr>
      <w:tr>
        <w:tc>
          <w:tcPr>
            <w:tcW w:type="dxa" w:w="2880"/>
          </w:tcPr>
          <w:p>
            <w:r>
              <w:t>Final PRISMA checklist</w:t>
            </w:r>
          </w:p>
        </w:tc>
        <w:tc>
          <w:tcPr>
            <w:tcW w:type="dxa" w:w="2880"/>
          </w:tcPr>
          <w:p>
            <w:r>
              <w:t>Pending</w:t>
            </w:r>
          </w:p>
        </w:tc>
        <w:tc>
          <w:tcPr>
            <w:tcW w:type="dxa" w:w="2880"/>
          </w:tcPr>
          <w:p>
            <w:r>
              <w:t>Required before submission</w:t>
            </w:r>
          </w:p>
        </w:tc>
      </w:tr>
    </w:tbl>
    <w:p>
      <w:pPr>
        <w:pStyle w:val="Heading1"/>
      </w:pPr>
      <w:r>
        <w:t>Discussion</w:t>
      </w:r>
    </w:p>
    <w:p>
      <w:r>
        <w:t>The authenticated workflow shows that a full review is feasible and worthwhile. The search retrieved a broad evidence base, and conservative triage still left 179 high-confidence extraction candidates. This is enough to justify continuing the project, but not enough to justify clinical recommendations. The main methodological risk is heterogeneity: frailty definitions, intervention intensity, supervision, comparator content and outcome timepoints are likely to vary widely. The planned synthesis must therefore resist the temptation to generate a single ranking without checking assumptions.</w:t>
      </w:r>
    </w:p>
    <w:p>
      <w:r>
        <w:t>The India-facing implementation component is the main reason this project can add value despite recent reviews. Primary-care implementation requires more than evidence of efficacy. A resistance-training protocol may be effective but difficult to scale if it requires gym equipment, specialist supervision or intensive monitoring. A nutrition intervention may be feasible only if the supplement is affordable, locally available and safe in multimorbid older adults. A digital or home-supported intervention may reduce travel burden but require literacy, caregiver support or phone access. These features should be extracted as data, not added as commentary after results are known.</w:t>
      </w:r>
    </w:p>
    <w:p>
      <w:r>
        <w:t>For policy and clinical readers, the final manuscript should present three layers of evidence. The first layer is effect: whether an intervention improves frailty status, gait speed, SPPB, grip strength or other patient-important outcomes. The second layer is confidence: risk of bias, precision, consistency and directness. The third layer is implementation readiness: whether the intervention can be delivered in Indian primary care with plausible workforce, equipment, procurement and safety arrangements. Keeping these layers separate will make the review more useful than a simple league table.</w:t>
      </w:r>
    </w:p>
    <w:p>
      <w:r>
        <w:t>The conditional NMA plan remains appropriate but must be governed by strict gates. Preliminary node counts show multiple intervention categories, but an NMA is valid only if studies can be connected through interpretable comparators and if effect modifiers are sufficiently balanced. If usual care differs markedly across settings, if frailty definitions identify clinically different populations, or if follow-up windows are too divergent, pairwise meta-analysis and structured narrative synthesis will be more credible than a forced network.</w:t>
      </w:r>
    </w:p>
    <w:p>
      <w:pPr>
        <w:pStyle w:val="Heading2"/>
      </w:pPr>
      <w:r>
        <w:t>Table 5. India Implementation-Readiness Domains</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Scoring rule</w:t>
            </w:r>
          </w:p>
        </w:tc>
      </w:tr>
      <w:tr>
        <w:tc>
          <w:tcPr>
            <w:tcW w:type="dxa" w:w="4320"/>
          </w:tcPr>
          <w:p>
            <w:r>
              <w:t>Delivery setting</w:t>
            </w:r>
          </w:p>
        </w:tc>
        <w:tc>
          <w:tcPr>
            <w:tcW w:type="dxa" w:w="4320"/>
          </w:tcPr>
          <w:p>
            <w:r>
              <w:t>0 hospital/residential only; 1 outpatient/day service; 2 home/community/primary care</w:t>
            </w:r>
          </w:p>
        </w:tc>
      </w:tr>
      <w:tr>
        <w:tc>
          <w:tcPr>
            <w:tcW w:type="dxa" w:w="4320"/>
          </w:tcPr>
          <w:p>
            <w:r>
              <w:t>Workforce fit</w:t>
            </w:r>
          </w:p>
        </w:tc>
        <w:tc>
          <w:tcPr>
            <w:tcW w:type="dxa" w:w="4320"/>
          </w:tcPr>
          <w:p>
            <w:r>
              <w:t>0 specialist-intensive; 1 intermittent specialist supervision; 2 feasible with primary-care/community workforce</w:t>
            </w:r>
          </w:p>
        </w:tc>
      </w:tr>
      <w:tr>
        <w:tc>
          <w:tcPr>
            <w:tcW w:type="dxa" w:w="4320"/>
          </w:tcPr>
          <w:p>
            <w:r>
              <w:t>Equipment burden</w:t>
            </w:r>
          </w:p>
        </w:tc>
        <w:tc>
          <w:tcPr>
            <w:tcW w:type="dxa" w:w="4320"/>
          </w:tcPr>
          <w:p>
            <w:r>
              <w:t>0 machines/gym/lab equipment; 1 low-cost equipment; 2 no or minimal equipment</w:t>
            </w:r>
          </w:p>
        </w:tc>
      </w:tr>
      <w:tr>
        <w:tc>
          <w:tcPr>
            <w:tcW w:type="dxa" w:w="4320"/>
          </w:tcPr>
          <w:p>
            <w:r>
              <w:t>Dose clarity</w:t>
            </w:r>
          </w:p>
        </w:tc>
        <w:tc>
          <w:tcPr>
            <w:tcW w:type="dxa" w:w="4320"/>
          </w:tcPr>
          <w:p>
            <w:r>
              <w:t>0 unclear; 1 partially specified; 2 replicable frequency, intensity and duration</w:t>
            </w:r>
          </w:p>
        </w:tc>
      </w:tr>
      <w:tr>
        <w:tc>
          <w:tcPr>
            <w:tcW w:type="dxa" w:w="4320"/>
          </w:tcPr>
          <w:p>
            <w:r>
              <w:t>Safety monitoring</w:t>
            </w:r>
          </w:p>
        </w:tc>
        <w:tc>
          <w:tcPr>
            <w:tcW w:type="dxa" w:w="4320"/>
          </w:tcPr>
          <w:p>
            <w:r>
              <w:t>0 high risk or poorly described; 1 moderate monitoring need; 2 low risk and monitored</w:t>
            </w:r>
          </w:p>
        </w:tc>
      </w:tr>
      <w:tr>
        <w:tc>
          <w:tcPr>
            <w:tcW w:type="dxa" w:w="4320"/>
          </w:tcPr>
          <w:p>
            <w:r>
              <w:t>Adherence feasibility</w:t>
            </w:r>
          </w:p>
        </w:tc>
        <w:tc>
          <w:tcPr>
            <w:tcW w:type="dxa" w:w="4320"/>
          </w:tcPr>
          <w:p>
            <w:r>
              <w:t>0 unclear or low adherence; 1 partial support; 2 clear adherence support/reporting</w:t>
            </w:r>
          </w:p>
        </w:tc>
      </w:tr>
      <w:tr>
        <w:tc>
          <w:tcPr>
            <w:tcW w:type="dxa" w:w="4320"/>
          </w:tcPr>
          <w:p>
            <w:r>
              <w:t>Procurement burden</w:t>
            </w:r>
          </w:p>
        </w:tc>
        <w:tc>
          <w:tcPr>
            <w:tcW w:type="dxa" w:w="4320"/>
          </w:tcPr>
          <w:p>
            <w:r>
              <w:t>0 expensive/proprietary supply; 1 low-cost supplement/materials; 2 no procurement burden</w:t>
            </w:r>
          </w:p>
        </w:tc>
      </w:tr>
    </w:tbl>
    <w:p>
      <w:pPr>
        <w:pStyle w:val="Heading1"/>
      </w:pPr>
      <w:r>
        <w:t>Limitations of the Current Manuscript Version</w:t>
      </w:r>
    </w:p>
    <w:p>
      <w:r>
        <w:t>This manuscript is intentionally not labelled as a final systematic review. It reports an authenticated workflow, not final effect estimates. The largest limitation is that full-text inclusion, numeric extraction and RoB 2 assessment remain incomplete. A second limitation is that the current search is PubMed-based; final submission should broaden database coverage or reframe the article type. A third limitation is that AI-assisted screening can improve speed and consistency but cannot replace independent reviewer judgement. A fourth limitation is that intervention nodes are preliminary and may change after full-text extraction.</w:t>
      </w:r>
    </w:p>
    <w:p>
      <w:pPr>
        <w:pStyle w:val="Heading1"/>
      </w:pPr>
      <w:r>
        <w:t>Conclusion</w:t>
      </w:r>
    </w:p>
    <w:p>
      <w:r>
        <w:t>The project is methodologically promising but not submission-ready. The authenticated workflow identified a large evidence base and created a transparent dual-author extraction system for a high-value India-facing review. The next decisive steps are protocol registration, complete full-text screening, numeric extraction, RoB 2 assessment, final PRISMA reporting and synthesis. Until those steps are complete, the appropriate conclusion is not that one intervention is best, but that a rigorous and implementation-aware synthesis is feasible and now prepared for author-level extraction.</w:t>
      </w:r>
    </w:p>
    <w:p>
      <w:pPr>
        <w:pStyle w:val="Heading1"/>
      </w:pPr>
      <w:r>
        <w:t>Figure Legends</w:t>
      </w:r>
    </w:p>
    <w:p>
      <w:r>
        <w:t>Figure 1. Screening progress flow for the frailty intervention review. This is not the final PRISMA flow diagram because final full-text exclusions and included studies remain pending.</w:t>
      </w:r>
    </w:p>
    <w:p>
      <w:r>
        <w:t>Figure 2. Preliminary intervention-node distribution among high-confidence candidates and PMC-mined full texts. Nodes require confirmation after full-text extraction.</w:t>
      </w:r>
    </w:p>
    <w:p>
      <w:pPr>
        <w:pStyle w:val="Heading1"/>
      </w:pPr>
      <w:r>
        <w:t>Declarations</w:t>
      </w:r>
    </w:p>
    <w:p>
      <w:r>
        <w:t>Author contributions, conflicts of interest, funding, data availability, protocol registration and AI-use declarations are provided in the separate declarations file. No conflicts or funding have been entered in the project files; final author confirmation is required before submission.</w:t>
      </w:r>
    </w:p>
    <w:p>
      <w:pPr>
        <w:pStyle w:val="Heading1"/>
      </w:pPr>
      <w:r>
        <w:t>References</w:t>
      </w:r>
    </w:p>
    <w:p>
      <w:r>
        <w:t>1. Clegg A, Young J, Iliffe S, Rikkert MO, Rockwood K. Frailty in elderly people. Lancet. 2013;381:752-762. doi:10.1016/S0140-6736(12)62167-9.</w:t>
      </w:r>
    </w:p>
    <w:p>
      <w:r>
        <w:t>2. Fried LP, Tangen CM, Walston J, et al. Frailty in older adults: evidence for a phenotype. J Gerontol A Biol Sci Med Sci. 2001;56:M146-M156. doi:10.1093/gerona/56.3.M146.</w:t>
      </w:r>
    </w:p>
    <w:p>
      <w:r>
        <w:t>3. Rockwood K, Mitnitski A. Frailty in relation to the accumulation of deficits. J Gerontol A Biol Sci Med Sci. 2007;62:722-727. doi:10.1093/gerona/62.7.722.</w:t>
      </w:r>
    </w:p>
    <w:p>
      <w:r>
        <w:t>4. Impact of multicomponent exercise and nutritional supplement interventions for improving physical frailty in community-dwelling older adults: a systematic review and meta-analysis. BMC Geriatrics. 2024. doi:10.1186/s12877-024-05551-8.</w:t>
      </w:r>
    </w:p>
    <w:p>
      <w:r>
        <w:t>5. Community-based exercises improve health status in pre-frail older adults: a systematic review with meta-analysis. BMC Geriatrics. 2024;24:589. doi:10.1186/s12877-024-05150-7.</w:t>
      </w:r>
    </w:p>
    <w:p>
      <w:r>
        <w:t>6. Effect of multicomponent exercise intervention in community dwelling frail elderly: a systematic review and meta-analysis. Arch Gerontol Geriatr. 2024;126:105543.</w:t>
      </w:r>
    </w:p>
    <w:p>
      <w:r>
        <w:t>7. Interventions to prevent the onset of frailty in adults aged 60 and older (PRAE-Frail): a systematic review and network meta-analysis. European Geriatric Medicine. 2024. doi:10.1007/s41999-024-01013-x.</w:t>
      </w:r>
    </w:p>
    <w:p>
      <w:r>
        <w:t>8. Effect of multicomponent exercise and nutrition intervention on frailty status in older adults: a network meta-analysis. BMC Geriatrics. 2026. doi:10.1186/s12877-026-07111-8.</w:t>
      </w:r>
    </w:p>
    <w:p>
      <w:r>
        <w:t>9. Page MJ, McKenzie JE, Bossuyt PM, et al. The PRISMA 2020 statement: an updated guideline for reporting systematic reviews. BMJ. 2021;372:n71. doi:10.1136/bmj.n71.</w:t>
      </w:r>
    </w:p>
    <w:p>
      <w:r>
        <w:t>10. Hutton B, Salanti G, Caldwell DM, et al. The PRISMA extension statement for reporting of systematic reviews incorporating network meta-analyses of health care interventions. Ann Intern Med. 2015;162:777-784. doi:10.7326/M14-2385.</w:t>
      </w:r>
    </w:p>
    <w:p>
      <w:r>
        <w:t>11. Cochrane Methods. Risk of Bias 2 (RoB 2) tool. Available from: https://methods.cochrane.org/risk-bias-2. Accessed May 18, 2026.</w:t>
      </w:r>
    </w:p>
    <w:p>
      <w:r>
        <w:t>12. Indian Journal of Medical Research. Instructions for authors. Available from: https://ijmr.org.in/for-authors/. Accessed May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