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Comprehensive Submission Audit</w:t>
      </w:r>
    </w:p>
    <w:p>
      <w:r>
        <w:rPr>
          <w:rFonts w:ascii="Times New Roman" w:hAnsi="Times New Roman"/>
        </w:rPr>
        <w:t>Audit scope: content, structure, alignment with MJDRDYPU/Medknow-style submission conventions, consistency, and scientific validity.</w:t>
      </w:r>
    </w:p>
    <w:p>
      <w:r>
        <w:rPr>
          <w:rFonts w:ascii="Times New Roman" w:hAnsi="Times New Roman"/>
        </w:rPr>
        <w:t>Content validity: Findings are derived from repository-held tables and verification artifacts. No unsupported pooled effect estimate is presented.</w:t>
      </w:r>
    </w:p>
    <w:p>
      <w:r>
        <w:rPr>
          <w:rFonts w:ascii="Times New Roman" w:hAnsi="Times New Roman"/>
        </w:rPr>
        <w:t>Structure: Title page, blinded manuscript, abstract, keywords, introduction, methods, results, discussion, limitations, conclusion, declarations, references, tables, and figures are present.</w:t>
      </w:r>
    </w:p>
    <w:p>
      <w:r>
        <w:rPr>
          <w:rFonts w:ascii="Times New Roman" w:hAnsi="Times New Roman"/>
        </w:rPr>
        <w:t>Alignment: The package uses separate title page and blinded manuscript files, Vancouver-style numbered references, ethics/funding/conflict statements, and embedded figures/tables.</w:t>
      </w:r>
    </w:p>
    <w:p>
      <w:r>
        <w:rPr>
          <w:rFonts w:ascii="Times New Roman" w:hAnsi="Times New Roman"/>
        </w:rPr>
        <w:t>Consistency: The manuscript consistently states that full-text verification and effect extraction are preliminary where automated.</w:t>
      </w:r>
    </w:p>
    <w:p>
      <w:r>
        <w:rPr>
          <w:rFonts w:ascii="Times New Roman" w:hAnsi="Times New Roman"/>
        </w:rPr>
        <w:t>Validity risks: Search caps, metadata-only extraction, duplicate flags, and unverified final effect sizes remain the main threats.</w:t>
      </w:r>
    </w:p>
    <w:p>
      <w:r>
        <w:rPr>
          <w:rFonts w:ascii="Times New Roman" w:hAnsi="Times New Roman"/>
        </w:rPr>
        <w:t>Reference audit: References are generated from repository metadata for prioritized human records. They must be spot-checked against journal style and source pages before upload.</w:t>
      </w:r>
    </w:p>
    <w:p>
      <w:r>
        <w:rPr>
          <w:rFonts w:ascii="Times New Roman" w:hAnsi="Times New Roman"/>
        </w:rPr>
        <w:t>Figure audit: Four key figures are embedded in the main manuscript and six are copied separately. The figures align with the manuscript conclusions: PRISMA flow, evidence ranking, hype-versus-evidence, and translational readiness.</w:t>
      </w:r>
    </w:p>
    <w:p>
      <w:r>
        <w:rPr>
          <w:rFonts w:ascii="Times New Roman" w:hAnsi="Times New Roman"/>
        </w:rPr>
        <w:t>Table audit: Three tables are embedded: credibility ranking, priority verification summary, and preliminary RoB prompts. Extended CSVs are copied as supporting tables.</w:t>
      </w:r>
    </w:p>
    <w:p>
      <w:r>
        <w:rPr>
          <w:rFonts w:ascii="Times New Roman" w:hAnsi="Times New Roman"/>
        </w:rPr>
        <w:t>Blinding audit: The manuscript file avoids author names and affiliations. The title-page file contains Dr Siddalingaiah H S, Shridevi Institute of Medical Sciences and Research Hospital, Tumkur, email, phone, and ORCID.</w:t>
      </w:r>
    </w:p>
    <w:p>
      <w:r>
        <w:rPr>
          <w:rFonts w:ascii="Times New Roman" w:hAnsi="Times New Roman"/>
        </w:rPr>
        <w:t>Ethics audit: The ethics statement is appropriate for public bibliographic metadata and open-access text. If authors add nonpublic full texts or manual extraction from copyrighted PDFs, they should retain only extracted facts, not redistributed text.</w:t>
      </w:r>
    </w:p>
    <w:p>
      <w:r>
        <w:rPr>
          <w:rFonts w:ascii="Times New Roman" w:hAnsi="Times New Roman"/>
        </w:rPr>
        <w:t>AI/software audit: The declarations file discloses automated scripting support. Authors must verify all scientific claims before submission.</w:t>
      </w:r>
    </w:p>
    <w:p>
      <w:r>
        <w:rPr>
          <w:rFonts w:ascii="Times New Roman" w:hAnsi="Times New Roman"/>
        </w:rPr>
        <w:t>QC flags: issue_type n_records severity detail extraction_schema_missing_fields 0 none All required extraction fields present. unresolved_duplicate_groups 84 medium Potential duplicate title/identifier groups require manual review before submission. preprint_treated_as_supported 0 none Preprints should not be treated as established evidence. animal_or_cellular_claim_supported 0 none Animal/cellular records should not be described as human-ready evidence. surrogate_endpoint_overclassified 79 medium Surrogate-only records should not drive strong anti-ageing conclusions. metadata_only_claims 484 medium These records require full-text verification before final inference. missing_effect_sizes 484 high Comparable effect sizes are required before meta-analysis. intervention_supported_without_human_records 0 none No intervention should be marked supported for healthspan without human records. speculative_intervention_high_score 0 none Speculative classes with high scores need manual review of scoring components.</w:t>
      </w:r>
    </w:p>
    <w:p>
      <w:r>
        <w:rPr>
          <w:rFonts w:ascii="Times New Roman" w:hAnsi="Times New Roman"/>
        </w:rPr>
        <w:t>Final audit decision: Ready as a high-quality MJDRDYPU-style draft submission package after final human scientific sign-off is completed; not to be presented as a completed meta-analysis or definitive clinical guideline.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