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Internal Peer Review 2 - Clinical Validity, Writing, and Journal Fit</w:t>
      </w:r>
    </w:p>
    <w:p>
      <w:r>
        <w:rPr>
          <w:rFonts w:ascii="Times New Roman" w:hAnsi="Times New Roman"/>
        </w:rPr>
        <w:t>Recommendation: Suitable as an evidence-map/systematic-review methods article if framed as conservative and preliminary rather than a completed meta-analysis.</w:t>
      </w:r>
    </w:p>
    <w:p>
      <w:r>
        <w:rPr>
          <w:rFonts w:ascii="Times New Roman" w:hAnsi="Times New Roman"/>
        </w:rPr>
        <w:t>Clinical validity: The conclusion that exercise has the strongest human healthspan signal is supported by the extracted ranking. Claims for rapamycin, senolytics, NAD/sirtuin interventions, fasting, caloric restriction, microbiome, and stem-cell approaches remain appropriately cautious.</w:t>
      </w:r>
    </w:p>
    <w:p>
      <w:r>
        <w:rPr>
          <w:rFonts w:ascii="Times New Roman" w:hAnsi="Times New Roman"/>
        </w:rPr>
        <w:t>Effect extraction: Quantitative effect information was found in 28 priority human records, but the current estimates are not sufficiently harmonized for meta-analysis.</w:t>
      </w:r>
    </w:p>
    <w:p>
      <w:r>
        <w:rPr>
          <w:rFonts w:ascii="Times New Roman" w:hAnsi="Times New Roman"/>
        </w:rPr>
        <w:t>Duplicate risk: 45 duplicate/cohort flags require manual adjudication. This should be declared as a limitation.</w:t>
      </w:r>
    </w:p>
    <w:p>
      <w:r>
        <w:rPr>
          <w:rFonts w:ascii="Times New Roman" w:hAnsi="Times New Roman"/>
        </w:rPr>
        <w:t>Journal fit: The manuscript should be submitted as a review/evidence map, not as a definitive therapeutic guideline.</w:t>
      </w:r>
    </w:p>
    <w:p>
      <w:r>
        <w:rPr>
          <w:rFonts w:ascii="Times New Roman" w:hAnsi="Times New Roman"/>
        </w:rPr>
        <w:t>Clinical interpretation: The practical message is appropriate for a medical journal readership: established healthy-ageing interventions, especially physical activity, are more defensible than pharmacologic or regenerative age-reversal claims.</w:t>
      </w:r>
    </w:p>
    <w:p>
      <w:r>
        <w:rPr>
          <w:rFonts w:ascii="Times New Roman" w:hAnsi="Times New Roman"/>
        </w:rPr>
        <w:t>Overclaiming audit: The manuscript avoids equating p-values, pathway modulation, epigenetic-clock changes, or senescence markers with true rejuvenation. This is a major strength.</w:t>
      </w:r>
    </w:p>
    <w:p>
      <w:r>
        <w:rPr>
          <w:rFonts w:ascii="Times New Roman" w:hAnsi="Times New Roman"/>
        </w:rPr>
        <w:t>Readability: The article is compact, table-driven, and suitable for editorial triage. The abstract is direct and avoids promotional language.</w:t>
      </w:r>
    </w:p>
    <w:p>
      <w:r>
        <w:rPr>
          <w:rFonts w:ascii="Times New Roman" w:hAnsi="Times New Roman"/>
        </w:rPr>
        <w:t>Table audit: Tables contain clean publication-facing content rather than local workflow statuses. Table 2 is now explicitly effect-estimate based where estimates are available; terms such as eligible pending confirmation, source_text_type, underscore labels, and local processing names are not used in the manuscript tables.</w:t>
      </w:r>
    </w:p>
    <w:p>
      <w:r>
        <w:rPr>
          <w:rFonts w:ascii="Times New Roman" w:hAnsi="Times New Roman"/>
        </w:rPr>
        <w:t>Figure callout audit: Figures 1-4 are cited in sequence before their display.</w:t>
      </w:r>
    </w:p>
    <w:p>
      <w:r>
        <w:rPr>
          <w:rFonts w:ascii="Times New Roman" w:hAnsi="Times New Roman"/>
        </w:rPr>
        <w:t>Blinding: author identity and contribution details are present in the title-page/declarations files; the blinded manuscript should remain free of identifying material.</w:t>
      </w:r>
    </w:p>
    <w:p>
      <w:r>
        <w:rPr>
          <w:rFonts w:ascii="Times New Roman" w:hAnsi="Times New Roman"/>
        </w:rPr>
        <w:t>Verdict: Clinically defensible as a conservative evidence map. It should not be represented as clinical guidance or proof of age reversal.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