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Anti-ageing Interventions and DNA Methylation Biomarkers of Biological Age: A Narrow Meta-analysis of Peer-reviewed Human Studies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Review article / systematic review with quantitative synthesis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Anti-ageing biomarker meta-analysis</w:t>
      </w:r>
    </w:p>
    <w:p>
      <w:pPr>
        <w:pStyle w:val="Heading1"/>
      </w:pPr>
      <w:r>
        <w:rPr>
          <w:rFonts w:ascii="Times New Roman" w:hAnsi="Times New Roman"/>
        </w:rPr>
        <w:t>Abstract</w:t>
      </w:r>
    </w:p>
    <w:p>
      <w:r>
        <w:rPr>
          <w:rFonts w:ascii="Times New Roman" w:hAnsi="Times New Roman"/>
          <w:b/>
        </w:rPr>
        <w:t xml:space="preserve">Background: </w:t>
      </w:r>
      <w:r>
        <w:rPr>
          <w:rFonts w:ascii="Times New Roman" w:hAnsi="Times New Roman"/>
        </w:rPr>
        <w:t>Claims that anti-ageing interventions slow or reverse biological ageing have expanded faster than the pool of human trials reporting quantitatively usable biomarker outcomes. A narrow quantitative synthesis is needed to distinguish peer-reviewed, poolable evidence from broader but methodologically heterogeneous claims.</w:t>
      </w:r>
    </w:p>
    <w:p>
      <w:r>
        <w:rPr>
          <w:rFonts w:ascii="Times New Roman" w:hAnsi="Times New Roman"/>
          <w:b/>
        </w:rPr>
        <w:t xml:space="preserve">Objective: </w:t>
      </w:r>
      <w:r>
        <w:rPr>
          <w:rFonts w:ascii="Times New Roman" w:hAnsi="Times New Roman"/>
        </w:rPr>
        <w:t>To perform a conservative meta-analysis of peer-reviewed human intervention studies reporting directly extractable quantitative effects on DNA methylation biomarkers of ageing.</w:t>
      </w:r>
    </w:p>
    <w:p>
      <w:r>
        <w:rPr>
          <w:rFonts w:ascii="Times New Roman" w:hAnsi="Times New Roman"/>
          <w:b/>
        </w:rPr>
        <w:t xml:space="preserve">Methods: </w:t>
      </w:r>
      <w:r>
        <w:rPr>
          <w:rFonts w:ascii="Times New Roman" w:hAnsi="Times New Roman"/>
        </w:rPr>
        <w:t>This add-on was layered on top of the parent systematic review pipeline. Only peer-reviewed human intervention studies with direct between-group effect estimates and confidence intervals or standard errors were eligible for the primary pooled analysis. Preprints, reconstructed endpoints, crossover analyses without paired variance, and studies reporting only p values, medians, or adherence analyses were excluded from the primary pool.</w:t>
      </w:r>
    </w:p>
    <w:p>
      <w:r>
        <w:rPr>
          <w:rFonts w:ascii="Times New Roman" w:hAnsi="Times New Roman"/>
          <w:b/>
        </w:rPr>
        <w:t xml:space="preserve">Results: </w:t>
      </w:r>
      <w:r>
        <w:rPr>
          <w:rFonts w:ascii="Times New Roman" w:hAnsi="Times New Roman"/>
        </w:rPr>
        <w:t>The only peer-reviewed outcome family meeting the primary pooling rule was DunedinPACE, represented by CALERIE and DO-HEALTH. The pooled standardized effect estimate was -0.203 (95% CI -0.306 to -0.100; I2 = 0%).</w:t>
      </w:r>
    </w:p>
    <w:p>
      <w:r>
        <w:rPr>
          <w:rFonts w:ascii="Times New Roman" w:hAnsi="Times New Roman"/>
          <w:b/>
        </w:rPr>
        <w:t xml:space="preserve">Conclusion: </w:t>
      </w:r>
      <w:r>
        <w:rPr>
          <w:rFonts w:ascii="Times New Roman" w:hAnsi="Times New Roman"/>
        </w:rPr>
        <w:t>The peer-reviewed human quantitative evidence base remains narrow. A modest DunedinPACE signal is present, but it rests on two trials and should not be generalized to broad claims of age reversal.</w:t>
      </w:r>
    </w:p>
    <w:p>
      <w:r>
        <w:rPr>
          <w:rFonts w:ascii="Times New Roman" w:hAnsi="Times New Roman"/>
        </w:rPr>
        <w:t>Keywords: anti-ageing; biological age; DunedinPACE; DNA methylation; caloric restriction; omega-3; meta-analysis</w:t>
      </w:r>
    </w:p>
    <w:p>
      <w:pPr>
        <w:pStyle w:val="Heading1"/>
      </w:pPr>
      <w:r>
        <w:rPr>
          <w:rFonts w:ascii="Times New Roman" w:hAnsi="Times New Roman"/>
        </w:rPr>
        <w:t>Introduction</w:t>
      </w:r>
    </w:p>
    <w:p>
      <w:r>
        <w:rPr>
          <w:rFonts w:ascii="Times New Roman" w:hAnsi="Times New Roman"/>
        </w:rPr>
        <w:t>Human intervention studies increasingly report DNA methylation biomarkers of ageing, but far fewer present treatment contrasts in a form suitable for quantitative synthesis.</w:t>
      </w:r>
      <w:r>
        <w:rPr>
          <w:rFonts w:ascii="Times New Roman" w:hAnsi="Times New Roman"/>
          <w:vertAlign w:val="superscript"/>
        </w:rPr>
        <w:t>[1,2]</w:t>
      </w:r>
    </w:p>
    <w:p>
      <w:r>
        <w:rPr>
          <w:rFonts w:ascii="Times New Roman" w:hAnsi="Times New Roman"/>
        </w:rPr>
        <w:t>This matters because biomarker enthusiasm can outrun the actual pool of comparator-based, peer-reviewed human evidence.</w:t>
      </w:r>
    </w:p>
    <w:p>
      <w:pPr>
        <w:pStyle w:val="Heading1"/>
      </w:pPr>
      <w:r>
        <w:rPr>
          <w:rFonts w:ascii="Times New Roman" w:hAnsi="Times New Roman"/>
        </w:rPr>
        <w:t>Methods</w:t>
      </w:r>
    </w:p>
    <w:p>
      <w:r>
        <w:rPr>
          <w:rFonts w:ascii="Times New Roman" w:hAnsi="Times New Roman"/>
        </w:rPr>
        <w:t>This study was conducted as a quantitative add-on to the parent systematic review of anti-ageing and age-reversal interventions. Search, screening, and source discovery were inherited from the parent pipeline, but quantitative inclusion was stricter.</w:t>
      </w:r>
    </w:p>
    <w:p>
      <w:r>
        <w:rPr>
          <w:rFonts w:ascii="Times New Roman" w:hAnsi="Times New Roman"/>
        </w:rPr>
        <w:t>The primary pool was restricted to peer-reviewed human intervention studies with directly extractable between-group estimates and confidence intervals or standard errors for DNA methylation biomarkers of ageing. Preprints, reconstructed endpoints, crossover analyses without paired variance, p values without uncertainty, and adherence-based within-trial associations were excluded from the primary pooled model.</w:t>
      </w:r>
    </w:p>
    <w:p>
      <w:r>
        <w:rPr>
          <w:rFonts w:ascii="Times New Roman" w:hAnsi="Times New Roman"/>
        </w:rPr>
        <w:t>Same-outcome pooling was limited to outcome families with at least two independent studies and compatible effect metrics. DunedinPACE was treated as a biomarker of the pace of biological ageing rather than a direct clinical outcome.</w:t>
      </w:r>
      <w:r>
        <w:rPr>
          <w:rFonts w:ascii="Times New Roman" w:hAnsi="Times New Roman"/>
          <w:vertAlign w:val="superscript"/>
        </w:rPr>
        <w:t>[3]</w:t>
      </w:r>
    </w:p>
    <w:p>
      <w:pPr>
        <w:pStyle w:val="Heading1"/>
      </w:pPr>
      <w:r>
        <w:rPr>
          <w:rFonts w:ascii="Times New Roman" w:hAnsi="Times New Roman"/>
        </w:rPr>
        <w:t>Results</w:t>
      </w:r>
    </w:p>
    <w:p>
      <w:r>
        <w:rPr>
          <w:rFonts w:ascii="Times New Roman" w:hAnsi="Times New Roman"/>
        </w:rPr>
        <w:t>The only outcome family meeting the prespecified primary pooling rule was DunedinPACE. Two peer-reviewed human intervention trials contributed: CALERIE and DO-HEALTH.</w:t>
      </w:r>
      <w:r>
        <w:rPr>
          <w:rFonts w:ascii="Times New Roman" w:hAnsi="Times New Roman"/>
          <w:vertAlign w:val="superscript"/>
        </w:rPr>
        <w:t>[1,2]</w:t>
      </w:r>
    </w:p>
    <w:p>
      <w:r>
        <w:rPr>
          <w:rFonts w:ascii="Times New Roman" w:hAnsi="Times New Roman"/>
        </w:rPr>
        <w:t>The pooled standardized effect estimate was -0.203 (95% CI -0.306 to -0.100; I2 = 0%).</w:t>
      </w:r>
    </w:p>
    <w:p>
      <w:r>
        <w:rPr>
          <w:rFonts w:ascii="Times New Roman" w:hAnsi="Times New Roman"/>
        </w:rPr>
        <w:t>Table 1 summarizes the contributing studies. Figure 1 presents the study-level and pooled estimates.</w:t>
      </w:r>
    </w:p>
    <w:p>
      <w:r>
        <w:rPr>
          <w:rFonts w:ascii="Times New Roman" w:hAnsi="Times New Roman"/>
        </w:rPr>
        <w:t>This direction is consistent with a modest slowing of the pace of biological ageing, but it does not establish organismal rejuvenation or clinical age reversal.</w:t>
      </w:r>
    </w:p>
    <w:p>
      <w:r>
        <w:rPr>
          <w:rFonts w:ascii="Times New Roman" w:hAnsi="Times New Roman"/>
        </w:rPr>
        <w:t>Table 1. Primary peer-reviewed studies contributing to the DunedinPACE pooled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Study</w:t>
            </w:r>
          </w:p>
        </w:tc>
        <w:tc>
          <w:tcPr>
            <w:tcW w:type="dxa" w:w="1337"/>
          </w:tcPr>
          <w:p>
            <w:r>
              <w:t>Year</w:t>
            </w:r>
          </w:p>
        </w:tc>
        <w:tc>
          <w:tcPr>
            <w:tcW w:type="dxa" w:w="1337"/>
          </w:tcPr>
          <w:p>
            <w:r>
              <w:t>Intervention</w:t>
            </w:r>
          </w:p>
        </w:tc>
        <w:tc>
          <w:tcPr>
            <w:tcW w:type="dxa" w:w="1337"/>
          </w:tcPr>
          <w:p>
            <w:r>
              <w:t>Timepoint</w:t>
            </w:r>
          </w:p>
        </w:tc>
        <w:tc>
          <w:tcPr>
            <w:tcW w:type="dxa" w:w="1337"/>
          </w:tcPr>
          <w:p>
            <w:r>
              <w:t>Sample size</w:t>
            </w:r>
          </w:p>
        </w:tc>
        <w:tc>
          <w:tcPr>
            <w:tcW w:type="dxa" w:w="1337"/>
          </w:tcPr>
          <w:p>
            <w:r>
              <w:t>Effect estimate (95% CI)</w:t>
            </w:r>
          </w:p>
        </w:tc>
        <w:tc>
          <w:tcPr>
            <w:tcW w:type="dxa" w:w="1337"/>
          </w:tcPr>
          <w:p>
            <w:r>
              <w:t>Risk of bias</w:t>
            </w:r>
          </w:p>
        </w:tc>
      </w:tr>
      <w:tr>
        <w:tc>
          <w:tcPr>
            <w:tcW w:type="dxa" w:w="1337"/>
          </w:tcPr>
          <w:p>
            <w:r>
              <w:t>CALERIE</w:t>
            </w:r>
          </w:p>
        </w:tc>
        <w:tc>
          <w:tcPr>
            <w:tcW w:type="dxa" w:w="1337"/>
          </w:tcPr>
          <w:p>
            <w:r>
              <w:t>2023</w:t>
            </w:r>
          </w:p>
        </w:tc>
        <w:tc>
          <w:tcPr>
            <w:tcW w:type="dxa" w:w="1337"/>
          </w:tcPr>
          <w:p>
            <w:r>
              <w:t>caloric_restriction</w:t>
            </w:r>
          </w:p>
        </w:tc>
        <w:tc>
          <w:tcPr>
            <w:tcW w:type="dxa" w:w="1337"/>
          </w:tcPr>
          <w:p>
            <w:r>
              <w:t>24_months_itt</w:t>
            </w:r>
          </w:p>
        </w:tc>
        <w:tc>
          <w:tcPr>
            <w:tcW w:type="dxa" w:w="1337"/>
          </w:tcPr>
          <w:p>
            <w:r>
              <w:t>128 vs 69</w:t>
            </w:r>
          </w:p>
        </w:tc>
        <w:tc>
          <w:tcPr>
            <w:tcW w:type="dxa" w:w="1337"/>
          </w:tcPr>
          <w:p>
            <w:r>
              <w:t>-0.250 (-0.410 to -0.090)</w:t>
            </w:r>
          </w:p>
        </w:tc>
        <w:tc>
          <w:tcPr>
            <w:tcW w:type="dxa" w:w="1337"/>
          </w:tcPr>
          <w:p>
            <w:r>
              <w:t>low</w:t>
            </w:r>
          </w:p>
        </w:tc>
      </w:tr>
      <w:tr>
        <w:tc>
          <w:tcPr>
            <w:tcW w:type="dxa" w:w="1337"/>
          </w:tcPr>
          <w:p>
            <w:r>
              <w:t>DO-HEALTH</w:t>
            </w:r>
          </w:p>
        </w:tc>
        <w:tc>
          <w:tcPr>
            <w:tcW w:type="dxa" w:w="1337"/>
          </w:tcPr>
          <w:p>
            <w:r>
              <w:t>2025</w:t>
            </w:r>
          </w:p>
        </w:tc>
        <w:tc>
          <w:tcPr>
            <w:tcW w:type="dxa" w:w="1337"/>
          </w:tcPr>
          <w:p>
            <w:r>
              <w:t>omega_3</w:t>
            </w:r>
          </w:p>
        </w:tc>
        <w:tc>
          <w:tcPr>
            <w:tcW w:type="dxa" w:w="1337"/>
          </w:tcPr>
          <w:p>
            <w:r>
              <w:t>36_months_itt_main_effect</w:t>
            </w:r>
          </w:p>
        </w:tc>
        <w:tc>
          <w:tcPr>
            <w:tcW w:type="dxa" w:w="1337"/>
          </w:tcPr>
          <w:p>
            <w:r>
              <w:t>DNAm subset reported in source</w:t>
            </w:r>
          </w:p>
        </w:tc>
        <w:tc>
          <w:tcPr>
            <w:tcW w:type="dxa" w:w="1337"/>
          </w:tcPr>
          <w:p>
            <w:r>
              <w:t>-0.170 (-0.310 to -0.040)</w:t>
            </w:r>
          </w:p>
        </w:tc>
        <w:tc>
          <w:tcPr>
            <w:tcW w:type="dxa" w:w="1337"/>
          </w:tcPr>
          <w:p>
            <w:r>
              <w:t>Some concerns</w:t>
            </w:r>
          </w:p>
        </w:tc>
      </w:tr>
    </w:tbl>
    <w:p>
      <w:r>
        <w:rPr>
          <w:rFonts w:ascii="Times New Roman" w:hAnsi="Times New Roman"/>
        </w:rPr>
        <w:t>Figure 1. Forest plot of the primary peer-reviewed DunedinPACE meta-analysis.</w:t>
      </w:r>
    </w:p>
    <w:p>
      <w:r>
        <w:drawing>
          <wp:inline xmlns:a="http://schemas.openxmlformats.org/drawingml/2006/main" xmlns:pic="http://schemas.openxmlformats.org/drawingml/2006/picture">
            <wp:extent cx="5669280" cy="2571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dunedinpace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Negative standardized effects favor a slower pace of biological ageing.</w:t>
      </w:r>
    </w:p>
    <w:p>
      <w:pPr>
        <w:pStyle w:val="Heading1"/>
      </w:pPr>
      <w:r>
        <w:rPr>
          <w:rFonts w:ascii="Times New Roman" w:hAnsi="Times New Roman"/>
        </w:rPr>
        <w:t>Discussion</w:t>
      </w:r>
    </w:p>
    <w:p>
      <w:r>
        <w:rPr>
          <w:rFonts w:ascii="Times New Roman" w:hAnsi="Times New Roman"/>
        </w:rPr>
        <w:t>The main finding is not simply the magnitude of the pooled DunedinPACE effect, but the narrowness of the peer-reviewed evidence base that can be synthesized without weakening methodological standards.</w:t>
      </w:r>
    </w:p>
    <w:p>
      <w:r>
        <w:rPr>
          <w:rFonts w:ascii="Times New Roman" w:hAnsi="Times New Roman"/>
        </w:rPr>
        <w:t>Several additional human intervention-clock studies were identified in the wider audit trail, but most failed the primary pooling rule because they reported medians without variance, p values without confidence intervals, adherence-based regression coefficients, or sensitivity-level reconstructed estimates.</w:t>
      </w:r>
    </w:p>
    <w:p>
      <w:r>
        <w:rPr>
          <w:rFonts w:ascii="Times New Roman" w:hAnsi="Times New Roman"/>
        </w:rPr>
        <w:t>The present pooled result is therefore better interpreted as evidence of biomarker-level modulation than proof of reversed ageing.</w:t>
      </w:r>
      <w:r>
        <w:rPr>
          <w:rFonts w:ascii="Times New Roman" w:hAnsi="Times New Roman"/>
          <w:vertAlign w:val="superscript"/>
        </w:rPr>
        <w:t>[3]</w:t>
      </w:r>
    </w:p>
    <w:p>
      <w:pPr>
        <w:pStyle w:val="Heading1"/>
      </w:pPr>
      <w:r>
        <w:rPr>
          <w:rFonts w:ascii="Times New Roman" w:hAnsi="Times New Roman"/>
        </w:rPr>
        <w:t>Strengths and Limitations</w:t>
      </w:r>
    </w:p>
    <w:p>
      <w:r>
        <w:rPr>
          <w:rFonts w:ascii="Times New Roman" w:hAnsi="Times New Roman"/>
        </w:rPr>
        <w:t>Strengths include strict peer-reviewed-only pooling, direct uncertainty requirements, explicit exclusion of sensitivity-only estimates from the primary model, and a complete audit trail for excluded candidate studies.</w:t>
      </w:r>
    </w:p>
    <w:p>
      <w:r>
        <w:rPr>
          <w:rFonts w:ascii="Times New Roman" w:hAnsi="Times New Roman"/>
        </w:rPr>
        <w:t>Limitations include reliance on two studies for the pooled DunedinPACE model, biomarker rather than clinical endpoints, and incomplete quantitative reporting across the broader literature.</w:t>
      </w:r>
    </w:p>
    <w:p>
      <w:pPr>
        <w:pStyle w:val="Heading1"/>
      </w:pPr>
      <w:r>
        <w:rPr>
          <w:rFonts w:ascii="Times New Roman" w:hAnsi="Times New Roman"/>
        </w:rPr>
        <w:t>Conclusion</w:t>
      </w:r>
    </w:p>
    <w:p>
      <w:r>
        <w:rPr>
          <w:rFonts w:ascii="Times New Roman" w:hAnsi="Times New Roman"/>
        </w:rPr>
        <w:t>The current peer-reviewed quantitative evidence for anti-ageing interventions on DNA methylation biomarkers is narrow but nonzero. A modest pooled DunedinPACE signal is present across CALERIE and DO-HEALTH, but the field still lacks enough directly extractable randomized contrasts to support broader quantitative claims.</w:t>
      </w:r>
    </w:p>
    <w:p>
      <w:pPr>
        <w:pStyle w:val="Heading1"/>
      </w:pPr>
      <w:r>
        <w:rPr>
          <w:rFonts w:ascii="Times New Roman" w:hAnsi="Times New Roman"/>
        </w:rPr>
        <w:t>Declarations</w:t>
      </w:r>
    </w:p>
    <w:p>
      <w:r>
        <w:rPr>
          <w:rFonts w:ascii="Times New Roman" w:hAnsi="Times New Roman"/>
          <w:b/>
        </w:rPr>
        <w:t xml:space="preserve">Ethics approval and consent to participate: </w:t>
      </w:r>
      <w:r>
        <w:rPr>
          <w:rFonts w:ascii="Times New Roman" w:hAnsi="Times New Roman"/>
        </w:rPr>
        <w:t>Not applicable; this review used published reports, public bibliographic metadata, and open-access text where available.</w:t>
      </w:r>
    </w:p>
    <w:p>
      <w:r>
        <w:rPr>
          <w:rFonts w:ascii="Times New Roman" w:hAnsi="Times New Roman"/>
          <w:b/>
        </w:rPr>
        <w:t xml:space="preserve">Consent for publication: </w:t>
      </w:r>
      <w:r>
        <w:rPr>
          <w:rFonts w:ascii="Times New Roman" w:hAnsi="Times New Roman"/>
        </w:rPr>
        <w:t>Not applicable.</w:t>
      </w:r>
    </w:p>
    <w:p>
      <w:r>
        <w:rPr>
          <w:rFonts w:ascii="Times New Roman" w:hAnsi="Times New Roman"/>
          <w:b/>
        </w:rPr>
        <w:t xml:space="preserve">Funding: </w:t>
      </w:r>
      <w:r>
        <w:rPr>
          <w:rFonts w:ascii="Times New Roman" w:hAnsi="Times New Roman"/>
        </w:rPr>
        <w:t>No external funding was declared for this manuscript package.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Data availability: </w:t>
      </w:r>
      <w:r>
        <w:rPr>
          <w:rFonts w:ascii="Times New Roman" w:hAnsi="Times New Roman"/>
        </w:rPr>
        <w:t>The extraction tables, pooled datasets, audit files, figure assets, and rendering scripts are available within the project repository.</w:t>
      </w:r>
    </w:p>
    <w:p>
      <w:r>
        <w:rPr>
          <w:rFonts w:ascii="Times New Roman" w:hAnsi="Times New Roman"/>
          <w:b/>
        </w:rPr>
        <w:t xml:space="preserve">Author contributions: </w:t>
      </w:r>
      <w:r>
        <w:rPr>
          <w:rFonts w:ascii="Times New Roman" w:hAnsi="Times New Roman"/>
        </w:rPr>
        <w:t>The author conceived the project, supervised the review process, audited the extracted evidence, and approved the submission package.</w:t>
      </w:r>
    </w:p>
    <w:p>
      <w:r>
        <w:rPr>
          <w:rFonts w:ascii="Times New Roman" w:hAnsi="Times New Roman"/>
          <w:b/>
        </w:rPr>
        <w:t xml:space="preserve">Use of software assistance: </w:t>
      </w:r>
      <w:r>
        <w:rPr>
          <w:rFonts w:ascii="Times New Roman" w:hAnsi="Times New Roman"/>
        </w:rPr>
        <w:t>Automated scripting and computational tooling were used for metadata handling, extraction support, pooling, figure rendering, and document assembly. Final scientific responsibility rests with the author.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r>
        <w:rPr>
          <w:rFonts w:ascii="Times New Roman" w:hAnsi="Times New Roman"/>
        </w:rPr>
        <w:t>1. Belsky DW, Huffman KM, Pieper CF, Shalev I, Kraus WE, Kraus VB, et al. Effect of long-term caloric restriction on DNA methylation measures of biological aging in healthy adults from the CALERIE trial. Nature Aging. 2023;3:248-257. doi:10.1038/s43587-022-00357-y.</w:t>
      </w:r>
    </w:p>
    <w:p>
      <w:r>
        <w:rPr>
          <w:rFonts w:ascii="Times New Roman" w:hAnsi="Times New Roman"/>
        </w:rPr>
        <w:t>2. Bischoff-Ferrari HA, Paulussen M, Chocano-Bedoya PO, Vellas B, Rizzoli R, Cao L, et al. Individual and additive effects of vitamin D, omega-3 and exercise on DNA methylation clocks of biological aging in older adults from the DO-HEALTH trial. Nature Aging. 2025;5:266-278. doi:10.1038/s43587-024-00793-y.</w:t>
      </w:r>
    </w:p>
    <w:p>
      <w:r>
        <w:rPr>
          <w:rFonts w:ascii="Times New Roman" w:hAnsi="Times New Roman"/>
        </w:rPr>
        <w:t>3. Belsky DW, Caspi A, Corcoran DL, Sugden K, Poulton R, Arseneault L, et al. DunedinPACE, a DNA methylation biomarker of the pace of aging. eLife. 2022;11:e73420. doi:10.7554/eLife.73420.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