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Figure Legends</w:t>
      </w:r>
    </w:p>
    <w:p>
      <w:r>
        <w:rPr>
          <w:rFonts w:ascii="Times New Roman" w:hAnsi="Times New Roman"/>
        </w:rPr>
        <w:t>Figure 1. Forest plot of the primary peer-reviewed DunedinPACE meta-analysis. Negative standardized effects favor a slower pace of biological ageing. The pooled estimate combines CALERIE and DO-HEALTH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