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Comprehensive Content, Structure, and Validity Audit</w:t>
      </w:r>
    </w:p>
    <w:p>
      <w:r>
        <w:rPr>
          <w:rFonts w:ascii="Times New Roman" w:hAnsi="Times New Roman"/>
        </w:rPr>
        <w:t>Audit scope: content accuracy, structure, alignment, consistency, quantitative validity, reference order, display-item order, and submission completeness.</w:t>
      </w:r>
    </w:p>
    <w:p>
      <w:r>
        <w:rPr>
          <w:rFonts w:ascii="Times New Roman" w:hAnsi="Times New Roman"/>
        </w:rPr>
        <w:t>Content validity: the pooled estimate matches the current DunedinPACE primary pooling table.</w:t>
      </w:r>
    </w:p>
    <w:p>
      <w:r>
        <w:rPr>
          <w:rFonts w:ascii="Times New Roman" w:hAnsi="Times New Roman"/>
        </w:rPr>
        <w:t>Included primary-pool studies: CALERIE, DO-HEALTH.</w:t>
      </w:r>
    </w:p>
    <w:p>
      <w:r>
        <w:rPr>
          <w:rFonts w:ascii="Times New Roman" w:hAnsi="Times New Roman"/>
        </w:rPr>
        <w:t>Reference order audit: references appear in numbered order of first appearance and are limited to CALERIE, DO-HEALTH, and the DunedinPACE methods paper.</w:t>
      </w:r>
    </w:p>
    <w:p>
      <w:r>
        <w:rPr>
          <w:rFonts w:ascii="Times New Roman" w:hAnsi="Times New Roman"/>
        </w:rPr>
        <w:t>Display-item audit: Table 1 is cited before insertion and Figure 1 is cited before insertion.</w:t>
      </w:r>
    </w:p>
    <w:p>
      <w:r>
        <w:rPr>
          <w:rFonts w:ascii="Times New Roman" w:hAnsi="Times New Roman"/>
        </w:rPr>
        <w:t>Blinding audit: the blinded manuscript excludes author name, affiliation, email, phone, and ORCID.</w:t>
      </w:r>
    </w:p>
    <w:p>
      <w:r>
        <w:rPr>
          <w:rFonts w:ascii="Times New Roman" w:hAnsi="Times New Roman"/>
        </w:rPr>
        <w:t>Declaration audit: ethics, consent, funding, conflicts, data availability, author contributions, and software assistance statements are present.</w:t>
      </w:r>
    </w:p>
    <w:p>
      <w:r>
        <w:rPr>
          <w:rFonts w:ascii="Times New Roman" w:hAnsi="Times New Roman"/>
        </w:rPr>
        <w:t>Quantitative limitation audit: the manuscript explicitly states that the pooled result is based on two studies and does not establish clinical age reversal.</w:t>
      </w:r>
    </w:p>
    <w:p>
      <w:r>
        <w:rPr>
          <w:rFonts w:ascii="Times New Roman" w:hAnsi="Times New Roman"/>
        </w:rPr>
        <w:t>Final audit decision: submission package is structurally ready, subject to final author scientific approval.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