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Declarations</w:t>
      </w:r>
    </w:p>
    <w:p>
      <w:r>
        <w:rPr>
          <w:rFonts w:ascii="Times New Roman" w:hAnsi="Times New Roman"/>
        </w:rPr>
        <w:t>Ethics approval and consent to participate: Not applicable; published reports, public bibliographic metadata, and open-access text where available.</w:t>
      </w:r>
    </w:p>
    <w:p>
      <w:r>
        <w:rPr>
          <w:rFonts w:ascii="Times New Roman" w:hAnsi="Times New Roman"/>
        </w:rPr>
        <w:t>Consent for publication: Not applicable.</w:t>
      </w:r>
    </w:p>
    <w:p>
      <w:r>
        <w:rPr>
          <w:rFonts w:ascii="Times New Roman" w:hAnsi="Times New Roman"/>
        </w:rPr>
        <w:t>Funding: No external funding declared.</w:t>
      </w:r>
    </w:p>
    <w:p>
      <w:r>
        <w:rPr>
          <w:rFonts w:ascii="Times New Roman" w:hAnsi="Times New Roman"/>
        </w:rPr>
        <w:t>Conflicts of interest: None declared.</w:t>
      </w:r>
    </w:p>
    <w:p>
      <w:r>
        <w:rPr>
          <w:rFonts w:ascii="Times New Roman" w:hAnsi="Times New Roman"/>
        </w:rPr>
        <w:t>Data availability: Extraction tables, pooled datasets, figure assets, audit files, and rendering scripts are available in the project repository.</w:t>
      </w:r>
    </w:p>
    <w:p>
      <w:r>
        <w:rPr>
          <w:rFonts w:ascii="Times New Roman" w:hAnsi="Times New Roman"/>
        </w:rPr>
        <w:t>Author contributions: Dr Siddalingaiah H S: conceptualization, supervision, evidence audit, manuscript review, and guarantor.</w:t>
      </w:r>
    </w:p>
    <w:p>
      <w:r>
        <w:rPr>
          <w:rFonts w:ascii="Times New Roman" w:hAnsi="Times New Roman"/>
        </w:rPr>
        <w:t>Use of software assistance: Automated scripting and computational tools were used for metadata handling, extraction support, pooling, figure generation, and document assembly. Final scientific responsibility rests with the author.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