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Internal Peer Review 1 - Quantitative Methods and Evidence Boundary</w:t>
      </w:r>
    </w:p>
    <w:p>
      <w:r>
        <w:rPr>
          <w:rFonts w:ascii="Times New Roman" w:hAnsi="Times New Roman"/>
        </w:rPr>
        <w:t>Recommendation: Acceptable as a narrow biomarker meta-analysis add-on after final author sign-off.</w:t>
      </w:r>
    </w:p>
    <w:p>
      <w:r>
        <w:rPr>
          <w:rFonts w:ascii="Times New Roman" w:hAnsi="Times New Roman"/>
        </w:rPr>
        <w:t>The primary pooled model is appropriately restricted to peer-reviewed human studies with directly extractable uncertainty.</w:t>
      </w:r>
    </w:p>
    <w:p>
      <w:r>
        <w:rPr>
          <w:rFonts w:ascii="Times New Roman" w:hAnsi="Times New Roman"/>
        </w:rPr>
        <w:t>The manuscript correctly excludes preprints, reconstructed endpoints, crossover analyses without paired variance, and p-value-only reports from the primary pool.</w:t>
      </w:r>
    </w:p>
    <w:p>
      <w:r>
        <w:rPr>
          <w:rFonts w:ascii="Times New Roman" w:hAnsi="Times New Roman"/>
        </w:rPr>
        <w:t>The pooled DunedinPACE estimate is -0.203 with a 95% confidence interval of -0.306 to -0.100 and I2 of 0%.</w:t>
      </w:r>
    </w:p>
    <w:p>
      <w:r>
        <w:rPr>
          <w:rFonts w:ascii="Times New Roman" w:hAnsi="Times New Roman"/>
        </w:rPr>
        <w:t>The article appropriately states that the result is biomarker-level evidence rather than proof of clinical age reversal.</w:t>
      </w:r>
    </w:p>
    <w:p>
      <w:r>
        <w:rPr>
          <w:rFonts w:ascii="Times New Roman" w:hAnsi="Times New Roman"/>
        </w:rPr>
        <w:t>Risk statement: the model remains limited to two studies and should not be written as a broad pooled anti-ageing review.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