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Summary of Changes — Revised Manuscript mjdrdypu_451_26</w:t>
      </w:r>
    </w:p>
    <w:p>
      <w:pPr>
        <w:pStyle w:val="BodyText"/>
      </w:pPr>
      <w:r>
        <w:t xml:space="preserve">“Can Ageing Be Slowed or Reversed? A Reproducible Evidence Map and Credibility Ranking of Anti-Ageing and Age-Reversal Interventions”</w:t>
      </w:r>
    </w:p>
    <w:p>
      <w:pPr>
        <w:pStyle w:val="BodyText"/>
      </w:pPr>
      <w:r>
        <w:t xml:space="preserve">Date: 23 June 2026</w:t>
      </w:r>
    </w:p>
    <w:p>
      <w:pPr>
        <w:pStyle w:val="BodyText"/>
      </w:pPr>
      <w:r>
        <w:t xml:space="preserve">I thank the editor and reviewer for their assessment. A full point-by-point response is provided separately; this note summarises the changes made.</w:t>
      </w:r>
    </w:p>
    <w:p>
      <w:pPr>
        <w:pStyle w:val="BodyText"/>
      </w:pPr>
      <w:r>
        <w:rPr>
          <w:b/>
          <w:bCs/>
        </w:rPr>
        <w:t xml:space="preserve">Response to the reviewer.</w:t>
      </w:r>
      <w:r>
        <w:t xml:space="preserve"> </w:t>
      </w:r>
      <w:r>
        <w:t xml:space="preserve">The reviewer’s four comments describe a patient-level clinical study (diabetic versus non-diabetic groups, MMSE-based cognitive assessment, and individual polypharmacy evaluation). This manuscript is a reproducible bibliographic evidence map of published anti-ageing studies; it enrols no patients and holds no individual-level cognitive or medication data, so these specific features are not present. I respectfully note the possible mismatch in the response letter, and I have nonetheless engaged each underlying geriatric principle: confounding control is now addressed through the structured risk-of-bias appraisal; the limitations of brief cognitive screens such as the MMSE (education and literacy sensitivity) are acknowledged where cognitive outcomes are reported; frailty — directly raised by the reviewer — has been strengthened as the central healthspan construct through which the top-ranked evidence acts; and the principle of medication appropriateness is now drawn explicitly into the discussion of pharmacologic anti-ageing candidates.</w:t>
      </w:r>
    </w:p>
    <w:p>
      <w:pPr>
        <w:pStyle w:val="BodyText"/>
      </w:pPr>
      <w:r>
        <w:rPr>
          <w:b/>
          <w:bCs/>
        </w:rPr>
        <w:t xml:space="preserve">Strengthening of the manuscript.</w:t>
      </w:r>
      <w:r>
        <w:t xml:space="preserve"> </w:t>
      </w:r>
      <w:r>
        <w:t xml:space="preserve">Beyond the reviewer’s comments, I undertook a thorough self-audit:</w:t>
      </w:r>
    </w:p>
    <w:p>
      <w:pPr>
        <w:pStyle w:val="Compact"/>
        <w:numPr>
          <w:ilvl w:val="0"/>
          <w:numId w:val="1001"/>
        </w:numPr>
      </w:pPr>
      <w:r>
        <w:t xml:space="preserve">The title was refined to remove</w:t>
      </w:r>
      <w:r>
        <w:t xml:space="preserve"> </w:t>
      </w:r>
      <w:r>
        <w:t xml:space="preserve">“Mechanistic Synthesis,”</w:t>
      </w:r>
      <w:r>
        <w:t xml:space="preserve"> </w:t>
      </w:r>
      <w:r>
        <w:t xml:space="preserve">which was not delivered as a discrete analysis.</w:t>
      </w:r>
    </w:p>
    <w:p>
      <w:pPr>
        <w:pStyle w:val="Compact"/>
        <w:numPr>
          <w:ilvl w:val="0"/>
          <w:numId w:val="1001"/>
        </w:numPr>
      </w:pPr>
      <w:r>
        <w:t xml:space="preserve">The abstract conclusion and the body were rewritten to present the work as a completed, deliberately scoped evidence map; internal working language was removed throughout.</w:t>
      </w:r>
    </w:p>
    <w:p>
      <w:pPr>
        <w:pStyle w:val="Compact"/>
        <w:numPr>
          <w:ilvl w:val="0"/>
          <w:numId w:val="1001"/>
        </w:numPr>
      </w:pPr>
      <w:r>
        <w:t xml:space="preserve">Figure 2 was corrected: the submitted version plotted a different score column and disagreed with Table 1. All four figures were regenerated from the source data with data labels and plain-language axis titles; the study-selection flow was rebuilt with connected arrows and the full screening breakdown, and Figure 1 was redrawn so that all text fits cleanly within the box borders (correcting a text-overflow problem).</w:t>
      </w:r>
    </w:p>
    <w:p>
      <w:pPr>
        <w:pStyle w:val="Compact"/>
        <w:numPr>
          <w:ilvl w:val="0"/>
          <w:numId w:val="1001"/>
        </w:numPr>
      </w:pPr>
      <w:r>
        <w:t xml:space="preserve">For typesetting clarity, Tables 1–3 and the figure legends are now placed after the references, and the figures are supplied as a separate file (Figures 1–4); each table and figure is cited at first mention in the text.</w:t>
      </w:r>
    </w:p>
    <w:p>
      <w:pPr>
        <w:pStyle w:val="Compact"/>
        <w:numPr>
          <w:ilvl w:val="0"/>
          <w:numId w:val="1001"/>
        </w:numPr>
      </w:pPr>
      <w:r>
        <w:t xml:space="preserve">References were brought to Vancouver style (first six authors followed by</w:t>
      </w:r>
      <w:r>
        <w:t xml:space="preserve"> </w:t>
      </w:r>
      <w:r>
        <w:t xml:space="preserve">“et al.”</w:t>
      </w:r>
      <w:r>
        <w:t xml:space="preserve">), in-text citation order was corrected to be strictly sequential, consecutive runs were collapsed to hyphenated ranges, and superscript bracketed numerals are used throughout. Volume, issue, and article/DOI details were added for all entries where verifiable; the year of one reference was corrected (2026 → 2025).</w:t>
      </w:r>
    </w:p>
    <w:p>
      <w:pPr>
        <w:pStyle w:val="Compact"/>
        <w:numPr>
          <w:ilvl w:val="0"/>
          <w:numId w:val="1001"/>
        </w:numPr>
      </w:pPr>
      <w:r>
        <w:t xml:space="preserve">The Discussion was expanded with geroscience context, a description of the credibility-scoring method, and the public-health implications of the ranking.</w:t>
      </w:r>
    </w:p>
    <w:p>
      <w:pPr>
        <w:pStyle w:val="Compact"/>
        <w:numPr>
          <w:ilvl w:val="0"/>
          <w:numId w:val="1001"/>
        </w:numPr>
      </w:pPr>
      <w:r>
        <w:t xml:space="preserve">The risk-of-bias presentation, declarations, data-availability statement, PRISMA checklist, and reference audit were updated accordingly.</w:t>
      </w:r>
    </w:p>
    <w:p>
      <w:pPr>
        <w:pStyle w:val="FirstParagraph"/>
      </w:pPr>
      <w:r>
        <w:t xml:space="preserve">I believe these revisions materially strengthen the manuscript and I am glad to make any further changes the editor or reviewer considers necessary.</w:t>
      </w:r>
    </w:p>
    <w:p>
      <w:pPr>
        <w:pStyle w:val="BodyText"/>
      </w:pPr>
      <w:r>
        <w:t xml:space="preserve">Dr Siddalingaiah H 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2026-06-23T08:53:13Z</dcterms:created>
  <dcterms:modified xsi:type="dcterms:W3CDTF">2026-06-23T08:53:13Z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