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22A9" w14:textId="77777777" w:rsidR="00783A65" w:rsidRDefault="00000000" w:rsidP="0000779C">
      <w:pPr>
        <w:pStyle w:val="FirstParagraph"/>
        <w:jc w:val="center"/>
      </w:pPr>
      <w:r>
        <w:rPr>
          <w:b/>
          <w:bCs/>
        </w:rPr>
        <w:t>Title Page</w:t>
      </w:r>
    </w:p>
    <w:p w14:paraId="794B9CF6" w14:textId="77777777" w:rsidR="00783A65" w:rsidRDefault="00000000">
      <w:pPr>
        <w:pStyle w:val="BodyText"/>
      </w:pPr>
      <w:r>
        <w:rPr>
          <w:b/>
          <w:bCs/>
        </w:rPr>
        <w:t>Manuscript number:</w:t>
      </w:r>
      <w:r>
        <w:t xml:space="preserve"> mjdrdypu_451_26 (Revision R1)</w:t>
      </w:r>
    </w:p>
    <w:p w14:paraId="64D1750A" w14:textId="77777777" w:rsidR="00783A65" w:rsidRDefault="00000000">
      <w:pPr>
        <w:pStyle w:val="BodyText"/>
      </w:pPr>
      <w:r>
        <w:rPr>
          <w:b/>
          <w:bCs/>
        </w:rPr>
        <w:t>Date:</w:t>
      </w:r>
      <w:r>
        <w:t xml:space="preserve"> 25 June 2026</w:t>
      </w:r>
    </w:p>
    <w:p w14:paraId="5283DB38" w14:textId="77777777" w:rsidR="00783A65" w:rsidRDefault="00000000">
      <w:pPr>
        <w:pStyle w:val="BodyText"/>
      </w:pPr>
      <w:r>
        <w:rPr>
          <w:b/>
          <w:bCs/>
        </w:rPr>
        <w:t>Title:</w:t>
      </w:r>
      <w:r>
        <w:t xml:space="preserve"> Can Ageing Be Slowed or Reversed? A Reproducible Evidence Map and Credibility Ranking of Anti-Ageing and Age-Reversal Interventions</w:t>
      </w:r>
    </w:p>
    <w:p w14:paraId="277DE456" w14:textId="77777777" w:rsidR="00783A65" w:rsidRDefault="00000000">
      <w:pPr>
        <w:pStyle w:val="BodyText"/>
      </w:pPr>
      <w:r>
        <w:rPr>
          <w:b/>
          <w:bCs/>
        </w:rPr>
        <w:t>Article type:</w:t>
      </w:r>
      <w:r>
        <w:t xml:space="preserve"> Systematic review / evidence map</w:t>
      </w:r>
    </w:p>
    <w:p w14:paraId="23AD8DC9" w14:textId="77777777" w:rsidR="00783A65" w:rsidRDefault="00000000">
      <w:pPr>
        <w:pStyle w:val="BodyText"/>
      </w:pPr>
      <w:r>
        <w:rPr>
          <w:b/>
          <w:bCs/>
        </w:rPr>
        <w:t>Running title:</w:t>
      </w:r>
      <w:r>
        <w:t xml:space="preserve"> Anti-ageing evidence map</w:t>
      </w:r>
    </w:p>
    <w:p w14:paraId="542529FD" w14:textId="77777777" w:rsidR="00783A65" w:rsidRDefault="00000000">
      <w:pPr>
        <w:pStyle w:val="BodyText"/>
      </w:pPr>
      <w:r>
        <w:rPr>
          <w:b/>
          <w:bCs/>
        </w:rPr>
        <w:t>Author:</w:t>
      </w:r>
      <w:r>
        <w:t xml:space="preserve"> Dr Siddalingaiah H S, Professor, Community Medicine</w:t>
      </w:r>
    </w:p>
    <w:p w14:paraId="30C8C42D" w14:textId="77777777" w:rsidR="00783A65" w:rsidRDefault="00000000">
      <w:pPr>
        <w:pStyle w:val="BodyText"/>
      </w:pPr>
      <w:r>
        <w:rPr>
          <w:b/>
          <w:bCs/>
        </w:rPr>
        <w:t>Affiliation:</w:t>
      </w:r>
      <w:r>
        <w:t xml:space="preserve"> Shridevi Institute of Medical Sciences and Research Hospital, Tumkur, Karnataka, India</w:t>
      </w:r>
    </w:p>
    <w:p w14:paraId="211AB017" w14:textId="77777777" w:rsidR="00783A65" w:rsidRDefault="00000000">
      <w:pPr>
        <w:pStyle w:val="BodyText"/>
      </w:pPr>
      <w:r>
        <w:rPr>
          <w:b/>
          <w:bCs/>
        </w:rPr>
        <w:t>Corresponding author:</w:t>
      </w:r>
      <w:r>
        <w:t xml:space="preserve"> Dr Siddalingaiah H S; Email: hssling@yahoo.com; Phone: 8941087719; ORCID: 0000-0002-4771-8285</w:t>
      </w:r>
    </w:p>
    <w:p w14:paraId="17E22F9C" w14:textId="77777777" w:rsidR="00783A65" w:rsidRDefault="00000000">
      <w:pPr>
        <w:pStyle w:val="BodyText"/>
      </w:pPr>
      <w:r>
        <w:rPr>
          <w:b/>
          <w:bCs/>
        </w:rPr>
        <w:t>Main text word count (excl. references, tables, figures):</w:t>
      </w:r>
      <w:r>
        <w:t xml:space="preserve"> ~2750</w:t>
      </w:r>
    </w:p>
    <w:p w14:paraId="5B493190" w14:textId="77777777" w:rsidR="00783A65" w:rsidRDefault="00000000">
      <w:pPr>
        <w:pStyle w:val="BodyText"/>
      </w:pPr>
      <w:r>
        <w:rPr>
          <w:b/>
          <w:bCs/>
        </w:rPr>
        <w:t>Number of references cited in text:</w:t>
      </w:r>
      <w:r>
        <w:t xml:space="preserve"> 14 (refs 1–14); refs 15–40 listed in Supplementary Table S1</w:t>
      </w:r>
    </w:p>
    <w:p w14:paraId="21FF3C81" w14:textId="77777777" w:rsidR="00783A65" w:rsidRDefault="00000000">
      <w:pPr>
        <w:pStyle w:val="BodyText"/>
      </w:pPr>
      <w:r>
        <w:rPr>
          <w:b/>
          <w:bCs/>
        </w:rPr>
        <w:t>Display items:</w:t>
      </w:r>
      <w:r>
        <w:t xml:space="preserve"> 3 tables (Tables 1–3) and 4 figures (Figures 1–4). Tables and figure legends are placed after the references; the figures are supplied as a separate file.</w:t>
      </w:r>
    </w:p>
    <w:p w14:paraId="57C0D683" w14:textId="77777777" w:rsidR="00783A65" w:rsidRDefault="00000000">
      <w:pPr>
        <w:pStyle w:val="BodyText"/>
      </w:pPr>
      <w:r>
        <w:rPr>
          <w:b/>
          <w:bCs/>
        </w:rPr>
        <w:t>Source(s) of support:</w:t>
      </w:r>
      <w:r>
        <w:t xml:space="preserve"> No external funding declared.</w:t>
      </w:r>
    </w:p>
    <w:p w14:paraId="1BF23B88" w14:textId="77777777" w:rsidR="00783A65" w:rsidRDefault="00000000">
      <w:pPr>
        <w:pStyle w:val="BodyText"/>
      </w:pPr>
      <w:r>
        <w:rPr>
          <w:b/>
          <w:bCs/>
        </w:rPr>
        <w:t>Conflicts of interest:</w:t>
      </w:r>
      <w:r>
        <w:t xml:space="preserve"> None declared.</w:t>
      </w:r>
    </w:p>
    <w:p w14:paraId="36E27F03" w14:textId="77777777" w:rsidR="00783A65" w:rsidRDefault="00000000">
      <w:pPr>
        <w:pStyle w:val="BodyText"/>
      </w:pPr>
      <w:r>
        <w:rPr>
          <w:b/>
          <w:bCs/>
        </w:rPr>
        <w:t>Ethics approval:</w:t>
      </w:r>
      <w:r>
        <w:t xml:space="preserve"> Not applicable; public bibliographic metadata and open-access text only, with no individual participant data.</w:t>
      </w:r>
    </w:p>
    <w:p w14:paraId="2A2F6F2E" w14:textId="77777777" w:rsidR="00783A65" w:rsidRDefault="00000000">
      <w:pPr>
        <w:pStyle w:val="BodyText"/>
      </w:pPr>
      <w:r>
        <w:rPr>
          <w:b/>
          <w:bCs/>
        </w:rPr>
        <w:t>Guarantor:</w:t>
      </w:r>
      <w:r>
        <w:t xml:space="preserve"> Dr Siddalingaiah H S</w:t>
      </w:r>
    </w:p>
    <w:p w14:paraId="78C9106C" w14:textId="77777777" w:rsidR="00783A65" w:rsidRDefault="00000000">
      <w:pPr>
        <w:pStyle w:val="BodyText"/>
      </w:pPr>
      <w:r>
        <w:rPr>
          <w:b/>
          <w:bCs/>
        </w:rPr>
        <w:t>Protocol registration:</w:t>
      </w:r>
      <w:r>
        <w:t xml:space="preserve"> Not prospectively registered; acknowledged as a limitation in the manuscript.</w:t>
      </w:r>
    </w:p>
    <w:p w14:paraId="548801D5" w14:textId="77777777" w:rsidR="00783A65" w:rsidRDefault="00000000">
      <w:pPr>
        <w:pStyle w:val="BodyText"/>
      </w:pPr>
      <w:r>
        <w:rPr>
          <w:b/>
          <w:bCs/>
        </w:rPr>
        <w:t>Note on this revision:</w:t>
      </w:r>
      <w:r>
        <w:t xml:space="preserve"> The title has been refined to remove “Mechanistic Synthesis,” which was not delivered as a separate analysis in the manuscript, more accurately reflecting the content (a reproducible evidence map and credibility ranking). In addition, two Table 1 intervention-class labels have been clarified (“Supplements” → “Dietary supplements”; “Controversial” → “Plasma/telomerase”) with a defining Note beneath Table 1, and Figure 1 (PRISMA) has been redrawn so all text fits within its boxes. Full details are given in the point-by-point response to reviewers.</w:t>
      </w:r>
    </w:p>
    <w:sectPr w:rsidR="00783A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A8F6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2671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A65"/>
    <w:rsid w:val="0000779C"/>
    <w:rsid w:val="00776A10"/>
    <w:rsid w:val="0078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30A5"/>
  <w15:docId w15:val="{C2DD8EA7-AC94-49E9-A6DB-2B7FED23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Siddalingaiah H S</cp:lastModifiedBy>
  <cp:revision>3</cp:revision>
  <dcterms:created xsi:type="dcterms:W3CDTF">2026-06-25T06:26:00Z</dcterms:created>
  <dcterms:modified xsi:type="dcterms:W3CDTF">2026-06-25T06:28:00Z</dcterms:modified>
</cp:coreProperties>
</file>