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15.png" ContentType="image/png"/>
  <Override PartName="/word/media/rId18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figures"/>
    <w:p>
      <w:pPr>
        <w:pStyle w:val="Heading1"/>
      </w:pPr>
      <w:r>
        <w:t xml:space="preserve">Figures</w:t>
      </w:r>
    </w:p>
    <w:p>
      <w:pPr>
        <w:pStyle w:val="FirstParagraph"/>
      </w:pPr>
      <w:r>
        <w:t xml:space="preserve">All figures are survey-weighted and supplied at 600 dpi in the figures folder.</w:t>
      </w:r>
    </w:p>
    <w:p>
      <w:pPr>
        <w:pStyle w:val="BodyText"/>
      </w:pPr>
      <w:r>
        <w:rPr>
          <w:b/>
          <w:bCs/>
        </w:rPr>
        <w:t xml:space="preserve">Figure 1.</w:t>
      </w:r>
      <w:r>
        <w:t xml:space="preserve"> </w:t>
      </w:r>
      <w:r>
        <w:t xml:space="preserve">Catastrophic health expenditure among older adults at three thresholds, for all adults aged 60 yr and over and for those aged 70 yr and over.</w:t>
      </w:r>
    </w:p>
    <w:p>
      <w:pPr>
        <w:pStyle w:val="CaptionedFigure"/>
      </w:pPr>
      <w:r>
        <w:drawing>
          <wp:inline>
            <wp:extent cx="5334000" cy="4072413"/>
            <wp:effectExtent b="0" l="0" r="0" t="0"/>
            <wp:docPr descr="Figure 1" title="" id="10" name="Picture"/>
            <a:graphic>
              <a:graphicData uri="http://schemas.openxmlformats.org/drawingml/2006/picture">
                <pic:pic>
                  <pic:nvPicPr>
                    <pic:cNvPr descr="figures/Figure_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2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</w:t>
      </w:r>
    </w:p>
    <w:p>
      <w:pPr>
        <w:pStyle w:val="BodyText"/>
      </w:pPr>
      <w:r>
        <w:rPr>
          <w:b/>
          <w:bCs/>
        </w:rPr>
        <w:t xml:space="preserve">Figure 2.</w:t>
      </w:r>
      <w:r>
        <w:t xml:space="preserve"> </w:t>
      </w:r>
      <w:r>
        <w:t xml:space="preserve">Share of older adults below the poverty line before and after out-of-pocket payment, overall and by sex and residence.</w:t>
      </w:r>
    </w:p>
    <w:p>
      <w:pPr>
        <w:pStyle w:val="CaptionedFigure"/>
      </w:pPr>
      <w:r>
        <w:drawing>
          <wp:inline>
            <wp:extent cx="5334000" cy="4073532"/>
            <wp:effectExtent b="0" l="0" r="0" t="0"/>
            <wp:docPr descr="Figure 2" title="" id="13" name="Picture"/>
            <a:graphic>
              <a:graphicData uri="http://schemas.openxmlformats.org/drawingml/2006/picture">
                <pic:pic>
                  <pic:nvPicPr>
                    <pic:cNvPr descr="figures/Figure_2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35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</w:t>
      </w:r>
    </w:p>
    <w:p>
      <w:pPr>
        <w:pStyle w:val="BodyText"/>
      </w:pPr>
      <w:r>
        <w:rPr>
          <w:b/>
          <w:bCs/>
        </w:rPr>
        <w:t xml:space="preserve">Figure 3.</w:t>
      </w:r>
      <w:r>
        <w:t xml:space="preserve"> </w:t>
      </w:r>
      <w:r>
        <w:t xml:space="preserve">Drivers of catastrophic spending ranked by mean absolute SHAP value from the gradient-boosting model (predictive, not causal).</w:t>
      </w:r>
    </w:p>
    <w:p>
      <w:pPr>
        <w:pStyle w:val="CaptionedFigure"/>
      </w:pPr>
      <w:r>
        <w:drawing>
          <wp:inline>
            <wp:extent cx="5334000" cy="3426823"/>
            <wp:effectExtent b="0" l="0" r="0" t="0"/>
            <wp:docPr descr="Figure 3" title="" id="16" name="Picture"/>
            <a:graphic>
              <a:graphicData uri="http://schemas.openxmlformats.org/drawingml/2006/picture">
                <pic:pic>
                  <pic:nvPicPr>
                    <pic:cNvPr descr="figures/Figure_3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6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</w:t>
      </w:r>
    </w:p>
    <w:p>
      <w:pPr>
        <w:pStyle w:val="BodyText"/>
      </w:pPr>
      <w:r>
        <w:rPr>
          <w:b/>
          <w:bCs/>
        </w:rPr>
        <w:t xml:space="preserve">Figure 4.</w:t>
      </w:r>
      <w:r>
        <w:t xml:space="preserve"> </w:t>
      </w:r>
      <w:r>
        <w:t xml:space="preserve">Percentage-point change in catastrophic spending under four financing-reform scenarios, with each scenario’s fiscal cost annotated. Scenarios assume full coverage and are upper-bound ceilings.</w:t>
      </w:r>
    </w:p>
    <w:p>
      <w:pPr>
        <w:pStyle w:val="CaptionedFigure"/>
      </w:pPr>
      <w:r>
        <w:drawing>
          <wp:inline>
            <wp:extent cx="5334000" cy="3972127"/>
            <wp:effectExtent b="0" l="0" r="0" t="0"/>
            <wp:docPr descr="Figure 4" title="" id="19" name="Picture"/>
            <a:graphic>
              <a:graphicData uri="http://schemas.openxmlformats.org/drawingml/2006/picture">
                <pic:pic>
                  <pic:nvPicPr>
                    <pic:cNvPr descr="figures/Figure_4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2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</w:t>
      </w:r>
    </w:p>
    <w:p>
      <w:pPr>
        <w:pStyle w:val="BodyText"/>
      </w:pPr>
      <w:r>
        <w:rPr>
          <w:b/>
          <w:bCs/>
        </w:rPr>
        <w:t xml:space="preserve">Figure 5.</w:t>
      </w:r>
      <w:r>
        <w:t xml:space="preserve"> </w:t>
      </w:r>
      <w:r>
        <w:t xml:space="preserve">Ranking of States and union territories by the share of older households with catastrophic spending (&gt;40% of capacity to pay). The dashed line marks the national 60+ average (20.7%).</w:t>
      </w:r>
    </w:p>
    <w:p>
      <w:pPr>
        <w:pStyle w:val="CaptionedFigure"/>
      </w:pPr>
      <w:r>
        <w:drawing>
          <wp:inline>
            <wp:extent cx="5334000" cy="6002299"/>
            <wp:effectExtent b="0" l="0" r="0" t="0"/>
            <wp:docPr descr="Figure 5" title="" id="22" name="Picture"/>
            <a:graphic>
              <a:graphicData uri="http://schemas.openxmlformats.org/drawingml/2006/picture">
                <pic:pic>
                  <pic:nvPicPr>
                    <pic:cNvPr descr="figures/Figure_5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022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</w:t>
      </w:r>
    </w:p>
    <w:p>
      <w:pPr>
        <w:pStyle w:val="BodyText"/>
      </w:pPr>
      <w:r>
        <w:rPr>
          <w:b/>
          <w:bCs/>
        </w:rPr>
        <w:t xml:space="preserve">Figure 6.</w:t>
      </w:r>
      <w:r>
        <w:t xml:space="preserve"> </w:t>
      </w:r>
      <w:r>
        <w:t xml:space="preserve">Projected number of older adults in catastrophic-spending households and the annual cost of universal outpatient and medicine cover, 2022–2050, holding the 2017–18 rate constant.</w:t>
      </w:r>
    </w:p>
    <w:p>
      <w:pPr>
        <w:pStyle w:val="CaptionedFigure"/>
      </w:pPr>
      <w:r>
        <w:drawing>
          <wp:inline>
            <wp:extent cx="5334000" cy="3619097"/>
            <wp:effectExtent b="0" l="0" r="0" t="0"/>
            <wp:docPr descr="Figure 6" title="" id="25" name="Picture"/>
            <a:graphic>
              <a:graphicData uri="http://schemas.openxmlformats.org/drawingml/2006/picture">
                <pic:pic>
                  <pic:nvPicPr>
                    <pic:cNvPr descr="figures/Figure_6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9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Supplementary Figure S1.</w:t>
      </w:r>
      <w:r>
        <w:t xml:space="preserve"> </w:t>
      </w:r>
      <w:r>
        <w:t xml:space="preserve">Concentration curve for catastrophic spending against cumulative population ranked by per-capita consumption.</w:t>
      </w:r>
    </w:p>
    <w:p>
      <w:pPr>
        <w:pStyle w:val="CaptionedFigure"/>
      </w:pPr>
      <w:r>
        <w:drawing>
          <wp:inline>
            <wp:extent cx="5334000" cy="4882728"/>
            <wp:effectExtent b="0" l="0" r="0" t="0"/>
            <wp:docPr descr="Supplementary Figure S1" title="" id="28" name="Picture"/>
            <a:graphic>
              <a:graphicData uri="http://schemas.openxmlformats.org/drawingml/2006/picture">
                <pic:pic>
                  <pic:nvPicPr>
                    <pic:cNvPr descr="figures/Figure_S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2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Supplementary Figure S1</w:t>
      </w:r>
    </w:p>
    <w:p>
      <w:pPr>
        <w:pStyle w:val="BodyText"/>
      </w:pPr>
      <w:r>
        <w:rPr>
          <w:b/>
          <w:bCs/>
        </w:rPr>
        <w:t xml:space="preserve">Supplementary Figure S2.</w:t>
      </w:r>
      <w:r>
        <w:t xml:space="preserve"> </w:t>
      </w:r>
      <w:r>
        <w:t xml:space="preserve">The economic value of unpaid family caregiving for older adults.</w:t>
      </w:r>
    </w:p>
    <w:p>
      <w:pPr>
        <w:pStyle w:val="CaptionedFigure"/>
      </w:pPr>
      <w:r>
        <w:drawing>
          <wp:inline>
            <wp:extent cx="5334000" cy="4486632"/>
            <wp:effectExtent b="0" l="0" r="0" t="0"/>
            <wp:docPr descr="Supplementary Figure S2" title="" id="31" name="Picture"/>
            <a:graphic>
              <a:graphicData uri="http://schemas.openxmlformats.org/drawingml/2006/picture">
                <pic:pic>
                  <pic:nvPicPr>
                    <pic:cNvPr descr="figures/Figure_S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86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Supplementary Figure S2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2026-06-26T11:39:49Z</dcterms:created>
  <dcterms:modified xsi:type="dcterms:W3CDTF">2026-06-26T11:39:49Z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