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Figure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37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phenotyp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37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1. </w:t>
      </w:r>
      <w:r>
        <w:t>(a) Standardized feature profiles of the two data-driven phenotypes; the metabolic-inflammatory phenotype combines higher BMI, HbA1c, and CRP with lower FVC z-scores. (b) Ageing outcomes not used in clustering: the metabolic-inflammatory phenotype has nearly threefold higher multimorbidity and more functional limitation.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