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302cc0b80a7f8950e88beaac21c2a1d66c2409"/>
    <w:p>
      <w:pPr>
        <w:pStyle w:val="Heading1"/>
      </w:pPr>
      <w:r>
        <w:t xml:space="preserve">STROBE Statement — Checklist (Cross-Sectional Study)</w:t>
      </w:r>
    </w:p>
    <w:p>
      <w:pPr>
        <w:pStyle w:val="FirstParagraph"/>
      </w:pPr>
      <w:r>
        <w:t xml:space="preserve">Manuscript:</w:t>
      </w:r>
      <w:r>
        <w:t xml:space="preserve"> </w:t>
      </w:r>
      <w:r>
        <w:rPr>
          <w:i/>
          <w:iCs/>
        </w:rPr>
        <w:t xml:space="preserve">A Metabolic-Inflammatory Reserve Axis Underlies Lung-Function Variation in Middle-Aged and Older Indians (LASI Wave 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Reported (section)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Title/abstract 1</w:t>
            </w:r>
          </w:p>
        </w:tc>
        <w:tc>
          <w:tcPr/>
          <w:p>
            <w:pPr>
              <w:pStyle w:val="Compact"/>
            </w:pPr>
            <w:r>
              <w:t xml:space="preserve">Design; balanced summary</w:t>
            </w:r>
          </w:p>
        </w:tc>
        <w:tc>
          <w:tcPr/>
          <w:p>
            <w:pPr>
              <w:pStyle w:val="Compact"/>
            </w:pPr>
            <w:r>
              <w:t xml:space="preserve">Title; structured 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2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Objectives 3</w:t>
            </w:r>
          </w:p>
        </w:tc>
        <w:tc>
          <w:tcPr/>
          <w:p>
            <w:pPr>
              <w:pStyle w:val="Compact"/>
            </w:pPr>
            <w:r>
              <w:t xml:space="preserve">Objectives</w:t>
            </w:r>
          </w:p>
        </w:tc>
        <w:tc>
          <w:tcPr/>
          <w:p>
            <w:pPr>
              <w:pStyle w:val="Compact"/>
            </w:pPr>
            <w:r>
              <w:t xml:space="preserve">Introduction (final paragraph)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4</w:t>
            </w:r>
          </w:p>
        </w:tc>
        <w:tc>
          <w:tcPr/>
          <w:p>
            <w:pPr>
              <w:pStyle w:val="Compact"/>
            </w:pPr>
            <w:r>
              <w:t xml:space="preserve">Design elements</w:t>
            </w:r>
          </w:p>
        </w:tc>
        <w:tc>
          <w:tcPr/>
          <w:p>
            <w:pPr>
              <w:pStyle w:val="Compact"/>
            </w:pPr>
            <w:r>
              <w:t xml:space="preserve">Methods — secondary analysis, unsupervised clustering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5</w:t>
            </w:r>
          </w:p>
        </w:tc>
        <w:tc>
          <w:tcPr/>
          <w:p>
            <w:pPr>
              <w:pStyle w:val="Compact"/>
            </w:pPr>
            <w:r>
              <w:t xml:space="preserve">Setting, dates</w:t>
            </w:r>
          </w:p>
        </w:tc>
        <w:tc>
          <w:tcPr/>
          <w:p>
            <w:pPr>
              <w:pStyle w:val="Compact"/>
            </w:pPr>
            <w:r>
              <w:t xml:space="preserve">Methods — LASI 2017–2019, national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 6</w:t>
            </w:r>
          </w:p>
        </w:tc>
        <w:tc>
          <w:tcPr/>
          <w:p>
            <w:pPr>
              <w:pStyle w:val="Compact"/>
            </w:pPr>
            <w:r>
              <w:t xml:space="preserve">Eligibility/selection</w:t>
            </w:r>
          </w:p>
        </w:tc>
        <w:tc>
          <w:tcPr/>
          <w:p>
            <w:pPr>
              <w:pStyle w:val="Compact"/>
            </w:pPr>
            <w:r>
              <w:t xml:space="preserve">Methods — n=29,828 complete-data adults ≥45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7</w:t>
            </w:r>
          </w:p>
        </w:tc>
        <w:tc>
          <w:tcPr/>
          <w:p>
            <w:pPr>
              <w:pStyle w:val="Compact"/>
            </w:pPr>
            <w:r>
              <w:t xml:space="preserve">Features/outcomes</w:t>
            </w:r>
          </w:p>
        </w:tc>
        <w:tc>
          <w:tcPr/>
          <w:p>
            <w:pPr>
              <w:pStyle w:val="Compact"/>
            </w:pPr>
            <w:r>
              <w:t xml:space="preserve">Methods — 7 clustering features; external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 8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Methods — field spirometry, DBS biomarkers, grip; national-reference 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9</w:t>
            </w:r>
          </w:p>
        </w:tc>
        <w:tc>
          <w:tcPr/>
          <w:p>
            <w:pPr>
              <w:pStyle w:val="Compact"/>
            </w:pPr>
            <w:r>
              <w:t xml:space="preserve">Bias addressed</w:t>
            </w:r>
          </w:p>
        </w:tc>
        <w:tc>
          <w:tcPr/>
          <w:p>
            <w:pPr>
              <w:pStyle w:val="Compact"/>
            </w:pPr>
            <w:r>
              <w:t xml:space="preserve">Outcomes excluded from clustering (external validation)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size 10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Complete-case n=29,828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Quantitative 11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  <w:tc>
          <w:tcPr/>
          <w:p>
            <w:pPr>
              <w:pStyle w:val="Compact"/>
            </w:pPr>
            <w:r>
              <w:t xml:space="preserve">Standardized features; k by silhouette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methods 12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Methods — k-means, silhouette, weighted outcome prevalence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 13</w:t>
            </w:r>
          </w:p>
        </w:tc>
        <w:tc>
          <w:tcPr/>
          <w:p>
            <w:pPr>
              <w:pStyle w:val="Compact"/>
            </w:pPr>
            <w:r>
              <w:t xml:space="preserve">Numbers</w:t>
            </w:r>
          </w:p>
        </w:tc>
        <w:tc>
          <w:tcPr/>
          <w:p>
            <w:pPr>
              <w:pStyle w:val="Compact"/>
            </w:pPr>
            <w:r>
              <w:t xml:space="preserve">Methods/Results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Descriptive 14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  <w:tc>
          <w:tcPr/>
          <w:p>
            <w:pPr>
              <w:pStyle w:val="Compact"/>
            </w:pPr>
            <w:r>
              <w:t xml:space="preserve">Table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 data 15</w:t>
            </w:r>
          </w:p>
        </w:tc>
        <w:tc>
          <w:tcPr/>
          <w:p>
            <w:pPr>
              <w:pStyle w:val="Compact"/>
            </w:pPr>
            <w:r>
              <w:t xml:space="preserve">Outcomes</w:t>
            </w:r>
          </w:p>
        </w:tc>
        <w:tc>
          <w:tcPr/>
          <w:p>
            <w:pPr>
              <w:pStyle w:val="Compact"/>
            </w:pPr>
            <w:r>
              <w:t xml:space="preserve">Table 2; Figure 1b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results 16</w:t>
            </w:r>
          </w:p>
        </w:tc>
        <w:tc>
          <w:tcPr/>
          <w:p>
            <w:pPr>
              <w:pStyle w:val="Compact"/>
            </w:pPr>
            <w:r>
              <w:t xml:space="preserve">Estimates</w:t>
            </w:r>
          </w:p>
        </w:tc>
        <w:tc>
          <w:tcPr/>
          <w:p>
            <w:pPr>
              <w:pStyle w:val="Compact"/>
            </w:pPr>
            <w:r>
              <w:t xml:space="preserve">Tables 1–2; Figure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analyses 17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k=2–6 silhouette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results 18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Discussion (opening)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Limitations 19</w:t>
            </w:r>
          </w:p>
        </w:tc>
        <w:tc>
          <w:tcPr/>
          <w:p>
            <w:pPr>
              <w:pStyle w:val="Compact"/>
            </w:pPr>
            <w: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Discussion — Limitations (weak separation emphasised)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Interpretation 20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Discussion; Conclusions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Generalisability 21</w:t>
            </w:r>
          </w:p>
        </w:tc>
        <w:tc>
          <w:tcPr/>
          <w:p>
            <w:pPr>
              <w:pStyle w:val="Compact"/>
            </w:pPr>
            <w:r>
              <w:t xml:space="preserve">External validity</w:t>
            </w:r>
          </w:p>
        </w:tc>
        <w:tc>
          <w:tcPr/>
          <w:p>
            <w:pPr>
              <w:pStyle w:val="Compact"/>
            </w:pPr>
            <w:r>
              <w:t xml:space="preserve">Discussion — national sample; dimensional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Funding 22</w:t>
            </w:r>
          </w:p>
        </w:tc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Title page — none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2026-07-08T04:24:43Z</dcterms:created>
  <dcterms:modified xsi:type="dcterms:W3CDTF">2026-07-08T04:24:43Z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