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 Metabolic-Inflammatory Reserve Axis Underlies Lung-Function Variation in Middle-Aged and Older Indians: A Data-Driven Analysis of the Longitudinal Ageing Study in India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Lung-ageing phenotypes in older Indians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Original Article</w:t>
      </w:r>
    </w:p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Dr Siddalingaiah H S</w:t>
      </w:r>
      <w:r>
        <w:t xml:space="preserve">, MD</w:t>
      </w:r>
      <w:r>
        <w:t xml:space="preserve"> </w:t>
      </w:r>
      <w:r>
        <w:t xml:space="preserve">Professor, Department of Community Medicine,</w:t>
      </w:r>
      <w:r>
        <w:t xml:space="preserve"> </w:t>
      </w:r>
      <w:r>
        <w:t xml:space="preserve">Shridevi Institute of Medical Sciences and Research Hospital, Tumkur, Karnataka, India.</w:t>
      </w:r>
      <w:r>
        <w:t xml:space="preserve"> </w:t>
      </w:r>
      <w:r>
        <w:t xml:space="preserve">ORCID: 0000-0002-4771-8285</w:t>
      </w:r>
      <w:r>
        <w:t xml:space="preserve"> </w:t>
      </w:r>
      <w:r>
        <w:t xml:space="preserve">Email: hssling@yahoo.com | Phone: +91 8941087719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 Siddalingaiah H S (as above).</w:t>
      </w:r>
    </w:p>
    <w:bookmarkEnd w:id="9"/>
    <w:bookmarkStart w:id="10" w:name="manuscript-metrics"/>
    <w:p>
      <w:pPr>
        <w:pStyle w:val="Heading2"/>
      </w:pPr>
      <w:r>
        <w:t xml:space="preserve">Manuscript metrics</w:t>
      </w:r>
    </w:p>
    <w:p>
      <w:pPr>
        <w:pStyle w:val="Compact"/>
        <w:numPr>
          <w:ilvl w:val="0"/>
          <w:numId w:val="1001"/>
        </w:numPr>
      </w:pPr>
      <w:r>
        <w:t xml:space="preserve">Abstract: ~250 words (structured)</w:t>
      </w:r>
    </w:p>
    <w:p>
      <w:pPr>
        <w:pStyle w:val="Compact"/>
        <w:numPr>
          <w:ilvl w:val="0"/>
          <w:numId w:val="1001"/>
        </w:numPr>
      </w:pPr>
      <w:r>
        <w:t xml:space="preserve">Main text: ~1,700 words (Introduction–Conclusions)</w:t>
      </w:r>
    </w:p>
    <w:p>
      <w:pPr>
        <w:pStyle w:val="Compact"/>
        <w:numPr>
          <w:ilvl w:val="0"/>
          <w:numId w:val="1001"/>
        </w:numPr>
      </w:pPr>
      <w:r>
        <w:t xml:space="preserve">References: 6</w:t>
      </w:r>
    </w:p>
    <w:p>
      <w:pPr>
        <w:pStyle w:val="Compact"/>
        <w:numPr>
          <w:ilvl w:val="0"/>
          <w:numId w:val="1001"/>
        </w:numPr>
      </w:pPr>
      <w:r>
        <w:t xml:space="preserve">Tables: 2</w:t>
      </w:r>
    </w:p>
    <w:p>
      <w:pPr>
        <w:pStyle w:val="Compact"/>
        <w:numPr>
          <w:ilvl w:val="0"/>
          <w:numId w:val="1001"/>
        </w:numPr>
      </w:pPr>
      <w:r>
        <w:t xml:space="preserve">Figures: 1</w:t>
      </w:r>
    </w:p>
    <w:bookmarkEnd w:id="10"/>
    <w:bookmarkStart w:id="11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This study used public-use data from LASI Wave 1 (IIPS, Harvard T.H. Chan School of Public Health, University of Southern California; Ministry of Health and Family Welfare, Government of India). Clustering used scikit-learn; lung z-scores used a nationally representative reference derived in a companion analysis from the same programme.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LASI data via g2aging.org and IIPS; clustering code available from the author on request.</w:t>
      </w:r>
    </w:p>
    <w:p>
      <w:pPr>
        <w:pStyle w:val="BodyText"/>
      </w:pPr>
      <w:r>
        <w:rPr>
          <w:b/>
          <w:bCs/>
        </w:rPr>
        <w:t xml:space="preserve">Author contributions (single author):</w:t>
      </w:r>
      <w:r>
        <w:t xml:space="preserve"> </w:t>
      </w:r>
      <w:r>
        <w:t xml:space="preserve">Dr Siddalingaiah H S conceived, analysed, drafted, and approved the work.</w:t>
      </w:r>
    </w:p>
    <w:p>
      <w:pPr>
        <w:pStyle w:val="BodyText"/>
      </w:pPr>
      <w:r>
        <w:rPr>
          <w:b/>
          <w:bCs/>
        </w:rPr>
        <w:t xml:space="preserve">Ethics:</w:t>
      </w:r>
      <w:r>
        <w:t xml:space="preserve"> </w:t>
      </w:r>
      <w:r>
        <w:t xml:space="preserve">Secondary analysis of de-identified public data; ICMR approval and informed consent obtained by LASI; no additional approval required.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2026-07-08T04:24:42Z</dcterms:created>
  <dcterms:modified xsi:type="dcterms:W3CDTF">2026-07-08T04:24:42Z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