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9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Figures — Can Ageing Be Slowed or Reversed? A Reproducible Evidence Map and Credibility Ranking of Anti-Ageing and Age-Reversal Interventions</w:t>
      </w:r>
    </w:p>
    <w:p>
      <w:pPr>
        <w:pStyle w:val="BodyText"/>
      </w:pPr>
      <w:r>
        <w:t xml:space="preserve">Manuscript mjdrdypu_451_26 — Revision R1. Four figures (Figures 1–4), one per page. Legends are also listed in the main manuscript after the references.</w:t>
      </w:r>
    </w:p>
    <w:p>
      <w:r>
        <w:br w:type="page"/>
      </w:r>
    </w:p>
    <w:p>
      <w:pPr>
        <w:pStyle w:val="BodyText"/>
      </w:pPr>
      <w:r>
        <w:drawing>
          <wp:inline>
            <wp:extent cx="5334000" cy="6290489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igures/prisma_flow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90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1. Study selection flow.</w:t>
      </w:r>
      <w:r>
        <w:t xml:space="preserve"> </w:t>
      </w:r>
      <w:r>
        <w:t xml:space="preserve">Records moved from database retrieval (1155 raw), through duplicate removal (126 removed; 1029 retained), title/abstract screening (29 include; 455 uncertain; 545 exclude), full-text eligibility assessment (484 records), and prioritised human-evidence verification (40 records; 19 open full text, 16 abstract, 5 not retrieved), to 28 records contributing extracted effect information.</w:t>
      </w:r>
    </w:p>
    <w:p>
      <w:r>
        <w:br w:type="page"/>
      </w:r>
    </w:p>
    <w:p>
      <w:pPr>
        <w:pStyle w:val="BodyText"/>
      </w:pPr>
      <w:r>
        <w:drawing>
          <wp:inline>
            <wp:extent cx="5334000" cy="3580356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figures/evidence_score_ranking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2. Intervention credibility-score ranking (n=14 classes).</w:t>
      </w:r>
      <w:r>
        <w:t xml:space="preserve"> </w:t>
      </w:r>
      <w:r>
        <w:t xml:space="preserve">The score integrates human record count, human-trial count, direct ageing/healthspan outcomes, biomarker count, surrogate burden, and a promotional-language penalty. Exercise ranked first (31.48); stem-cell approaches ranked last (1.68). Bar colour denotes the translational category.</w:t>
      </w:r>
    </w:p>
    <w:p>
      <w:r>
        <w:br w:type="page"/>
      </w:r>
    </w:p>
    <w:p>
      <w:pPr>
        <w:pStyle w:val="BodyText"/>
      </w:pPr>
      <w:r>
        <w:drawing>
          <wp:inline>
            <wp:extent cx="5334000" cy="3975805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igures/hype_vs_evidence_map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5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3. Credibility versus promotional-language burden.</w:t>
      </w:r>
      <w:r>
        <w:t xml:space="preserve"> </w:t>
      </w:r>
      <w:r>
        <w:t xml:space="preserve">Credibility score (x-axis) plotted against the proportion of extracted records flagged for promotional (</w:t>
      </w:r>
      <w:r>
        <w:t xml:space="preserve">“hype-heavy”</w:t>
      </w:r>
      <w:r>
        <w:t xml:space="preserve">) terminology (y-axis), by intervention domain. Bubble size denotes the number of extracted records. Interventions with high credibility and low promotional burden (exercise, lifestyle bundle) appear lower-right; reprogramming and controversial approaches appear upper-left.</w:t>
      </w:r>
    </w:p>
    <w:p>
      <w:r>
        <w:br w:type="page"/>
      </w:r>
    </w:p>
    <w:p>
      <w:pPr>
        <w:pStyle w:val="BodyText"/>
      </w:pPr>
      <w:r>
        <w:drawing>
          <wp:inline>
            <wp:extent cx="5334000" cy="3755763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igures/translational_matrix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5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 Translational-readiness map.</w:t>
      </w:r>
      <w:r>
        <w:t xml:space="preserve"> </w:t>
      </w:r>
      <w:r>
        <w:t xml:space="preserve">Conservative category assignment for 14 intervention classes: A — healthspan support signal; B — promising, not recommendation-ready; C — biomarker/indirect signal; D — speculative/low directness. Marker size is proportional to the number of human studies.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9" Target="media/rId9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2026-06-23T08:53:02Z</dcterms:created>
  <dcterms:modified xsi:type="dcterms:W3CDTF">2026-06-23T08:53:02Z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