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ference-audit-report-revision-r1"/>
    <w:p>
      <w:pPr>
        <w:pStyle w:val="Heading1"/>
      </w:pPr>
      <w:r>
        <w:t xml:space="preserve">Reference Audit Report — Revision R1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Can Ageing Be Slowed or Reversed? (mjdrdypu_451_26)</w:t>
      </w:r>
      <w:r>
        <w:t xml:space="preserve"> </w:t>
      </w:r>
      <w:r>
        <w:rPr>
          <w:b/>
          <w:bCs/>
        </w:rPr>
        <w:t xml:space="preserve">Audit date:</w:t>
      </w:r>
      <w:r>
        <w:t xml:space="preserve"> </w:t>
      </w:r>
      <w:r>
        <w:t xml:space="preserve">23 June 2026</w:t>
      </w:r>
    </w:p>
    <w:bookmarkStart w:id="9" w:name="overall-reference-counts"/>
    <w:p>
      <w:pPr>
        <w:pStyle w:val="Heading2"/>
      </w:pPr>
      <w:r>
        <w:t xml:space="preserve">1. Overall reference 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394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Submitted (2026-04-24)</w:t>
            </w:r>
          </w:p>
        </w:tc>
        <w:tc>
          <w:tcPr/>
          <w:p>
            <w:pPr>
              <w:pStyle w:val="Compact"/>
            </w:pPr>
            <w:r>
              <w:t xml:space="preserve">Revision R1 (2026-06-23)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references in pool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 (14 in text; 26 in Supplementary Table 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cited in main text</w:t>
            </w:r>
          </w:p>
        </w:tc>
        <w:tc>
          <w:tcPr/>
          <w:p>
            <w:pPr>
              <w:pStyle w:val="Compact"/>
            </w:pPr>
            <w:r>
              <w:t xml:space="preserve">14 [1–14]</w:t>
            </w:r>
          </w:p>
        </w:tc>
        <w:tc>
          <w:tcPr/>
          <w:p>
            <w:pPr>
              <w:pStyle w:val="Compact"/>
            </w:pPr>
            <w:r>
              <w:t xml:space="preserve">14 [1–14]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lists</w:t>
            </w:r>
          </w:p>
        </w:tc>
        <w:tc>
          <w:tcPr/>
          <w:p>
            <w:pPr>
              <w:pStyle w:val="Compact"/>
            </w:pPr>
            <w:r>
              <w:t xml:space="preserve">Full author lists (up to ~19 authors)</w:t>
            </w:r>
          </w:p>
        </w:tc>
        <w:tc>
          <w:tcPr/>
          <w:p>
            <w:pPr>
              <w:pStyle w:val="Compact"/>
            </w:pPr>
            <w:r>
              <w:t xml:space="preserve">Truncated to first 6 +</w:t>
            </w:r>
            <w:r>
              <w:t xml:space="preserve"> </w:t>
            </w:r>
            <w:r>
              <w:t xml:space="preserve">“et al.”</w:t>
            </w:r>
            <w:r>
              <w:t xml:space="preserve"> </w:t>
            </w:r>
            <w:r>
              <w:t xml:space="preserve">(Vancouver)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In-text citation style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Superscript bracketed numerals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sequence</w:t>
            </w:r>
          </w:p>
        </w:tc>
        <w:tc>
          <w:tcPr/>
          <w:p>
            <w:pPr>
              <w:pStyle w:val="Compact"/>
            </w:pPr>
            <w:r>
              <w:t xml:space="preserve">11–14 first cited after 15–40 (out of order)</w:t>
            </w:r>
          </w:p>
        </w:tc>
        <w:tc>
          <w:tcPr/>
          <w:p>
            <w:pPr>
              <w:pStyle w:val="Compact"/>
            </w:pPr>
            <w:r>
              <w:t xml:space="preserve">Fixed: [1,2] → [3–14] → [15–40]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references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9"/>
    <w:bookmarkStart w:id="10" w:name="changes-applied-in-r1"/>
    <w:p>
      <w:pPr>
        <w:pStyle w:val="Heading2"/>
      </w:pPr>
      <w:r>
        <w:t xml:space="preserve">2. Changes applied in R1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1879"/>
        <w:gridCol w:w="3758"/>
        <w:gridCol w:w="1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Reference(s)</w:t>
            </w:r>
          </w:p>
        </w:tc>
        <w:tc>
          <w:tcPr/>
          <w:p>
            <w:pPr>
              <w:pStyle w:val="Compact"/>
            </w:pPr>
            <w:r>
              <w:t xml:space="preserve">Issue in submitted version</w:t>
            </w:r>
          </w:p>
        </w:tc>
        <w:tc>
          <w:tcPr/>
          <w:p>
            <w:pPr>
              <w:pStyle w:val="Compact"/>
            </w:pPr>
            <w:r>
              <w:t xml:space="preserve">Action in 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1, 2, 3, 6, 7, 8, 9, 10, 12, 13, 14</w:t>
            </w:r>
          </w:p>
        </w:tc>
        <w:tc>
          <w:tcPr/>
          <w:p>
            <w:pPr>
              <w:pStyle w:val="Compact"/>
            </w:pPr>
            <w:r>
              <w:t xml:space="preserve">All authors listed (e.g., ref 6 listed ~19 authors)</w:t>
            </w:r>
          </w:p>
        </w:tc>
        <w:tc>
          <w:tcPr/>
          <w:p>
            <w:pPr>
              <w:pStyle w:val="Compact"/>
            </w:pPr>
            <w:r>
              <w:t xml:space="preserve">Truncated to first 6 authors followed by</w:t>
            </w:r>
            <w:r>
              <w:t xml:space="preserve"> </w:t>
            </w:r>
            <w:r>
              <w:t xml:space="preserve">“et al.”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4, 5, 11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Six or fewer authors; listed in full, no</w:t>
            </w:r>
            <w:r>
              <w:t xml:space="preserve"> </w:t>
            </w:r>
            <w:r>
              <w:t xml:space="preserve">“et al.”</w:t>
            </w:r>
            <w:r>
              <w:t xml:space="preserve"> </w:t>
            </w:r>
            <w:r>
              <w:t xml:space="preserve">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Author case had been corrected to title case at QA</w:t>
            </w:r>
          </w:p>
        </w:tc>
        <w:tc>
          <w:tcPr/>
          <w:p>
            <w:pPr>
              <w:pStyle w:val="Compact"/>
            </w:pPr>
            <w:r>
              <w:t xml:space="preserve">Retained correct title case (Collins J, Longhurst G, Roschel H, Gualano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  <w:r>
              <w:t xml:space="preserve"> </w:t>
            </w:r>
            <w:r>
              <w:t xml:space="preserve">“Aging”</w:t>
            </w:r>
            <w:r>
              <w:t xml:space="preserve"> </w:t>
            </w:r>
            <w: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Disambiguated to</w:t>
            </w:r>
            <w:r>
              <w:t xml:space="preserve"> </w:t>
            </w:r>
            <w:r>
              <w:t xml:space="preserve">“Aging (Albany NY)”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15–40</w:t>
            </w:r>
          </w:p>
        </w:tc>
        <w:tc>
          <w:tcPr/>
          <w:p>
            <w:pPr>
              <w:pStyle w:val="Compact"/>
            </w:pPr>
            <w:r>
              <w:t xml:space="preserve">Listed but not individually cited</w:t>
            </w:r>
          </w:p>
        </w:tc>
        <w:tc>
          <w:tcPr/>
          <w:p>
            <w:pPr>
              <w:pStyle w:val="Compact"/>
            </w:pPr>
            <w:r>
              <w:t xml:space="preserve">Retained in Supplementary Table S1; collectively cited [15–40] in Methods, after refs 1–14 first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Methods cited [15–40] before Results introduced 11–14</w:t>
            </w:r>
          </w:p>
        </w:tc>
        <w:tc>
          <w:tcPr/>
          <w:p>
            <w:pPr>
              <w:pStyle w:val="Compact"/>
            </w:pPr>
            <w:r>
              <w:t xml:space="preserve">Introduction now cites the full human set [3-14]; sequential numbering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In-text ranges</w:t>
            </w:r>
          </w:p>
        </w:tc>
        <w:tc>
          <w:tcPr/>
          <w:p>
            <w:pPr>
              <w:pStyle w:val="Compact"/>
            </w:pPr>
            <w:r>
              <w:t xml:space="preserve">Runs of three or more consecutive citations were written out in full (e.g., [3,4,5,…,14])</w:t>
            </w:r>
          </w:p>
        </w:tc>
        <w:tc>
          <w:tcPr/>
          <w:p>
            <w:pPr>
              <w:pStyle w:val="Compact"/>
            </w:pPr>
            <w:r>
              <w:t xml:space="preserve">Collapsed to hyphenated ranges per Vancouver style: [3-14], [2,4-6], [3,7-9,12-14]; two consecutive (e.g., [1,2]) left comma-separated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Missing bibliographic detail</w:t>
            </w:r>
          </w:p>
        </w:tc>
        <w:tc>
          <w:tcPr/>
          <w:p>
            <w:pPr>
              <w:pStyle w:val="Compact"/>
            </w:pPr>
            <w:r>
              <w:t xml:space="preserve">Entries lacked volume, issue, and page/article numbers</w:t>
            </w:r>
          </w:p>
        </w:tc>
        <w:tc>
          <w:tcPr/>
          <w:p>
            <w:pPr>
              <w:pStyle w:val="Compact"/>
            </w:pPr>
            <w:r>
              <w:t xml:space="preserve">Volume/issue/article and page numbers added from PubMed, Crossref, and publisher records (see Section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Incorrect year</w:t>
            </w:r>
          </w:p>
        </w:tc>
        <w:tc>
          <w:tcPr/>
          <w:p>
            <w:pPr>
              <w:pStyle w:val="Compact"/>
            </w:pPr>
            <w:r>
              <w:t xml:space="preserve">Ref 6 was dated 2026</w:t>
            </w:r>
          </w:p>
        </w:tc>
        <w:tc>
          <w:tcPr/>
          <w:p>
            <w:pPr>
              <w:pStyle w:val="Compact"/>
            </w:pPr>
            <w:r>
              <w:t xml:space="preserve">Corrected to 2025 (PubMed publication year; eCollection January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DOI flagged for recheck</w:t>
            </w:r>
          </w:p>
        </w:tc>
        <w:tc>
          <w:tcPr/>
          <w:p>
            <w:pPr>
              <w:pStyle w:val="Compact"/>
            </w:pPr>
            <w:r>
              <w:t xml:space="preserve">An external audit queried ref 12’s DOI</w:t>
            </w:r>
          </w:p>
        </w:tc>
        <w:tc>
          <w:tcPr/>
          <w:p>
            <w:pPr>
              <w:pStyle w:val="Compact"/>
            </w:pPr>
            <w:r>
              <w:t xml:space="preserve">Re-verified against PubMed (PMID 41766355); DOI 10.1093/gerona/glag061 confirmed correct</w:t>
            </w:r>
          </w:p>
        </w:tc>
      </w:tr>
    </w:tbl>
    <w:bookmarkEnd w:id="10"/>
    <w:bookmarkStart w:id="11" w:name="in-text-citation-sequence-r1"/>
    <w:p>
      <w:pPr>
        <w:pStyle w:val="Heading2"/>
      </w:pPr>
      <w:r>
        <w:t xml:space="preserve">3. In-text citation sequence (R1)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[1,2]</w:t>
            </w:r>
          </w:p>
        </w:tc>
        <w:tc>
          <w:tcPr/>
          <w:p>
            <w:pPr>
              <w:pStyle w:val="Compact"/>
            </w:pPr>
            <w:r>
              <w:t xml:space="preserve">Introduction, para 1</w:t>
            </w:r>
          </w:p>
        </w:tc>
        <w:tc>
          <w:tcPr/>
          <w:p>
            <w:pPr>
              <w:pStyle w:val="Compact"/>
            </w:pPr>
            <w:r>
              <w:t xml:space="preserve">First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[3-14]</w:t>
            </w:r>
          </w:p>
        </w:tc>
        <w:tc>
          <w:tcPr/>
          <w:p>
            <w:pPr>
              <w:pStyle w:val="Compact"/>
            </w:pPr>
            <w:r>
              <w:t xml:space="preserve">Introduction, para 2</w:t>
            </w:r>
          </w:p>
        </w:tc>
        <w:tc>
          <w:tcPr/>
          <w:p>
            <w:pPr>
              <w:pStyle w:val="Compact"/>
            </w:pPr>
            <w:r>
              <w:t xml:space="preserve">Full human-evidence set; consecutive run collapsed to a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[15-40]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Collective supplementary citation, after 1–14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[3-14]</w:t>
            </w:r>
          </w:p>
        </w:tc>
        <w:tc>
          <w:tcPr/>
          <w:p>
            <w:pPr>
              <w:pStyle w:val="Compact"/>
            </w:pPr>
            <w:r>
              <w:t xml:space="preserve">Results, para 3</w:t>
            </w:r>
          </w:p>
        </w:tc>
        <w:tc>
          <w:tcPr/>
          <w:p>
            <w:pPr>
              <w:pStyle w:val="Compact"/>
            </w:pPr>
            <w:r>
              <w:t xml:space="preserve">Re-citation of priority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[2], [4], [6]</w:t>
            </w:r>
          </w:p>
        </w:tc>
        <w:tc>
          <w:tcPr/>
          <w:p>
            <w:pPr>
              <w:pStyle w:val="Compact"/>
            </w:pPr>
            <w:r>
              <w:t xml:space="preserve">Results, exercise paragraph</w:t>
            </w:r>
          </w:p>
        </w:tc>
        <w:tc>
          <w:tcPr/>
          <w:p>
            <w:pPr>
              <w:pStyle w:val="Compact"/>
            </w:pPr>
            <w:r>
              <w:t xml:space="preserve">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[3], [7], [12], [13]</w:t>
            </w:r>
          </w:p>
        </w:tc>
        <w:tc>
          <w:tcPr/>
          <w:p>
            <w:pPr>
              <w:pStyle w:val="Compact"/>
            </w:pPr>
            <w:r>
              <w:t xml:space="preserve">Results, diet/microbiome paragraph</w:t>
            </w:r>
          </w:p>
        </w:tc>
        <w:tc>
          <w:tcPr/>
          <w:p>
            <w:pPr>
              <w:pStyle w:val="Compact"/>
            </w:pPr>
            <w:r>
              <w:t xml:space="preserve">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[8], [9], [14]</w:t>
            </w:r>
          </w:p>
        </w:tc>
        <w:tc>
          <w:tcPr/>
          <w:p>
            <w:pPr>
              <w:pStyle w:val="Compact"/>
            </w:pPr>
            <w:r>
              <w:t xml:space="preserve">Results, rapamycin/senolytic paragraph</w:t>
            </w:r>
          </w:p>
        </w:tc>
        <w:tc>
          <w:tcPr/>
          <w:p>
            <w:pPr>
              <w:pStyle w:val="Compact"/>
            </w:pPr>
            <w:r>
              <w:t xml:space="preserve">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[2,4-6]</w:t>
            </w:r>
          </w:p>
        </w:tc>
        <w:tc>
          <w:tcPr/>
          <w:p>
            <w:pPr>
              <w:pStyle w:val="Compact"/>
            </w:pPr>
            <w:r>
              <w:t xml:space="preserve">Discussion, para 1</w:t>
            </w:r>
          </w:p>
        </w:tc>
        <w:tc>
          <w:tcPr/>
          <w:p>
            <w:pPr>
              <w:pStyle w:val="Compact"/>
            </w:pPr>
            <w:r>
              <w:t xml:space="preserve">Exercise refs (4–6 collapsed)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[3,7-9,12-14]</w:t>
            </w:r>
          </w:p>
        </w:tc>
        <w:tc>
          <w:tcPr/>
          <w:p>
            <w:pPr>
              <w:pStyle w:val="Compact"/>
            </w:pPr>
            <w:r>
              <w:t xml:space="preserve">Discussion, para 2</w:t>
            </w:r>
          </w:p>
        </w:tc>
        <w:tc>
          <w:tcPr/>
          <w:p>
            <w:pPr>
              <w:pStyle w:val="Compact"/>
            </w:pPr>
            <w:r>
              <w:t xml:space="preserve">Pharmacologic / nutritional refs (collapsed)</w:t>
            </w:r>
          </w:p>
        </w:tc>
      </w:tr>
    </w:tbl>
    <w:p>
      <w:pPr>
        <w:pStyle w:val="BodyText"/>
      </w:pPr>
      <w:r>
        <w:t xml:space="preserve">All in-text citations resolve to a reference-list entry; all listed refs 1–14 are cited; numbering is strictly sequential by first appearance.</w:t>
      </w:r>
    </w:p>
    <w:bookmarkEnd w:id="11"/>
    <w:bookmarkStart w:id="12" w:name="per-reference-verification-refs-114"/>
    <w:p>
      <w:pPr>
        <w:pStyle w:val="Heading2"/>
      </w:pPr>
      <w:r>
        <w:t xml:space="preserve">4. Per-reference verification (refs 1–14)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7"/>
        <w:gridCol w:w="2480"/>
        <w:gridCol w:w="858"/>
        <w:gridCol w:w="2290"/>
        <w:gridCol w:w="477"/>
        <w:gridCol w:w="1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First 6 authors + et al.</w:t>
            </w:r>
          </w:p>
        </w:tc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Year;Vol(Issue):Pages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Yap KH, Chen C, Chong EJY, Kandiah N, Kivipelto M, Lai MKP, et al.</w:t>
            </w:r>
          </w:p>
        </w:tc>
        <w:tc>
          <w:tcPr/>
          <w:p>
            <w:pPr>
              <w:pStyle w:val="Compact"/>
            </w:pPr>
            <w:r>
              <w:t xml:space="preserve">Alzheimers Dement</w:t>
            </w:r>
          </w:p>
        </w:tc>
        <w:tc>
          <w:tcPr/>
          <w:p>
            <w:pPr>
              <w:pStyle w:val="Compact"/>
            </w:pPr>
            <w:r>
              <w:t xml:space="preserve">2026;22(4):e71313</w:t>
            </w:r>
          </w:p>
        </w:tc>
        <w:tc>
          <w:tcPr/>
          <w:p>
            <w:pPr>
              <w:pStyle w:val="Compact"/>
            </w:pPr>
            <w:r>
              <w:t xml:space="preserve">doi:10.1002/alz.71313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Zanotto T, Tabatabaei A, Lynch SG, He J, Lysaught M, Ahmadnezhad P, et al.</w:t>
            </w:r>
          </w:p>
        </w:tc>
        <w:tc>
          <w:tcPr/>
          <w:p>
            <w:pPr>
              <w:pStyle w:val="Compact"/>
            </w:pPr>
            <w:r>
              <w:t xml:space="preserve">PLoS One</w:t>
            </w:r>
          </w:p>
        </w:tc>
        <w:tc>
          <w:tcPr/>
          <w:p>
            <w:pPr>
              <w:pStyle w:val="Compact"/>
            </w:pPr>
            <w:r>
              <w:t xml:space="preserve">2026;21(4):e0347063</w:t>
            </w:r>
          </w:p>
        </w:tc>
        <w:tc>
          <w:tcPr/>
          <w:p>
            <w:pPr>
              <w:pStyle w:val="Compact"/>
            </w:pPr>
            <w:r>
              <w:t xml:space="preserve">doi:10.1371/journal.pone.0347063</w:t>
            </w:r>
          </w:p>
        </w:tc>
        <w:tc>
          <w:tcPr/>
          <w:p>
            <w:pPr>
              <w:pStyle w:val="Compact"/>
            </w:pPr>
            <w:r>
              <w:t xml:space="preserve">PLOS-verified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Ni Lochlainn M, Bowyer RCE, Moll JM, Garcia MP, Wadge S, Baleanu AF, et al.</w:t>
            </w:r>
          </w:p>
        </w:tc>
        <w:tc>
          <w:tcPr/>
          <w:p>
            <w:pPr>
              <w:pStyle w:val="Compact"/>
            </w:pPr>
            <w:r>
              <w:t xml:space="preserve">Nat Commun</w:t>
            </w:r>
          </w:p>
        </w:tc>
        <w:tc>
          <w:tcPr/>
          <w:p>
            <w:pPr>
              <w:pStyle w:val="Compact"/>
            </w:pPr>
            <w:r>
              <w:t xml:space="preserve">2024;15(1):1859</w:t>
            </w:r>
          </w:p>
        </w:tc>
        <w:tc>
          <w:tcPr/>
          <w:p>
            <w:pPr>
              <w:pStyle w:val="Compact"/>
            </w:pPr>
            <w:r>
              <w:t xml:space="preserve">doi:10.1038/s41467-024-46116-y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Tuan SH, Chang LH, Sun SF, Li CH, Chen GB, Tsai YJ.</w:t>
            </w:r>
          </w:p>
        </w:tc>
        <w:tc>
          <w:tcPr/>
          <w:p>
            <w:pPr>
              <w:pStyle w:val="Compact"/>
            </w:pPr>
            <w:r>
              <w:t xml:space="preserve">J Med Internet Res</w:t>
            </w:r>
          </w:p>
        </w:tc>
        <w:tc>
          <w:tcPr/>
          <w:p>
            <w:pPr>
              <w:pStyle w:val="Compact"/>
            </w:pPr>
            <w:r>
              <w:t xml:space="preserve">2024;26:e59468</w:t>
            </w:r>
          </w:p>
        </w:tc>
        <w:tc>
          <w:tcPr/>
          <w:p>
            <w:pPr>
              <w:pStyle w:val="Compact"/>
            </w:pPr>
            <w:r>
              <w:t xml:space="preserve">doi:10.2196/59468</w:t>
            </w:r>
          </w:p>
        </w:tc>
        <w:tc>
          <w:tcPr/>
          <w:p>
            <w:pPr>
              <w:pStyle w:val="Compact"/>
            </w:pPr>
            <w:r>
              <w:t xml:space="preserve">JMIR-verified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Yoon DH, Lee JY, Song W.</w:t>
            </w:r>
          </w:p>
        </w:tc>
        <w:tc>
          <w:tcPr/>
          <w:p>
            <w:pPr>
              <w:pStyle w:val="Compact"/>
            </w:pPr>
            <w:r>
              <w:t xml:space="preserve">J Nutr Health Aging</w:t>
            </w:r>
          </w:p>
        </w:tc>
        <w:tc>
          <w:tcPr/>
          <w:p>
            <w:pPr>
              <w:pStyle w:val="Compact"/>
            </w:pPr>
            <w:r>
              <w:t xml:space="preserve">2018;22(8):944-951</w:t>
            </w:r>
          </w:p>
        </w:tc>
        <w:tc>
          <w:tcPr/>
          <w:p>
            <w:pPr>
              <w:pStyle w:val="Compact"/>
            </w:pPr>
            <w:r>
              <w:t xml:space="preserve">doi:10.1007/s12603-018-1090-9</w:t>
            </w:r>
          </w:p>
        </w:tc>
        <w:tc>
          <w:tcPr/>
          <w:p>
            <w:pPr>
              <w:pStyle w:val="Compact"/>
            </w:pPr>
            <w:r>
              <w:t xml:space="preserve">Crossref-verified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Zhu Z, Zhou X, Chen M, Dou C, Liu D, Kong L, et al.</w:t>
            </w:r>
          </w:p>
        </w:tc>
        <w:tc>
          <w:tcPr/>
          <w:p>
            <w:pPr>
              <w:pStyle w:val="Compact"/>
            </w:pPr>
            <w:r>
              <w:t xml:space="preserve">Lancet Reg Health West Pac</w:t>
            </w:r>
          </w:p>
        </w:tc>
        <w:tc>
          <w:tcPr/>
          <w:p>
            <w:pPr>
              <w:pStyle w:val="Compact"/>
            </w:pPr>
            <w:r>
              <w:t xml:space="preserve">2025;66:101780</w:t>
            </w:r>
          </w:p>
        </w:tc>
        <w:tc>
          <w:tcPr/>
          <w:p>
            <w:pPr>
              <w:pStyle w:val="Compact"/>
            </w:pPr>
            <w:r>
              <w:t xml:space="preserve">doi:10.1016/j.lanwpc.2025.101780</w:t>
            </w:r>
          </w:p>
        </w:tc>
        <w:tc>
          <w:tcPr/>
          <w:p>
            <w:pPr>
              <w:pStyle w:val="Compact"/>
            </w:pPr>
            <w:r>
              <w:t xml:space="preserve">PubMed-verified;</w:t>
            </w:r>
            <w:r>
              <w:t xml:space="preserve"> </w:t>
            </w:r>
            <w:r>
              <w:rPr>
                <w:b/>
                <w:bCs/>
              </w:rPr>
              <w:t xml:space="preserve">year corrected 2026→2025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Brandhorst S, Levine ME, Wei M, Shelehchi M, Morgan TE, Nayak KS, et al.</w:t>
            </w:r>
          </w:p>
        </w:tc>
        <w:tc>
          <w:tcPr/>
          <w:p>
            <w:pPr>
              <w:pStyle w:val="Compact"/>
            </w:pPr>
            <w:r>
              <w:t xml:space="preserve">Nat Commun</w:t>
            </w:r>
          </w:p>
        </w:tc>
        <w:tc>
          <w:tcPr/>
          <w:p>
            <w:pPr>
              <w:pStyle w:val="Compact"/>
            </w:pPr>
            <w:r>
              <w:t xml:space="preserve">2024;15(1):1309</w:t>
            </w:r>
          </w:p>
        </w:tc>
        <w:tc>
          <w:tcPr/>
          <w:p>
            <w:pPr>
              <w:pStyle w:val="Compact"/>
            </w:pPr>
            <w:r>
              <w:t xml:space="preserve">doi:10.1038/s41467-024-45260-9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Chung CL, Lawrence I, Hoffman M, Elgindi D, Nadhan K, Potnis M, et al.</w:t>
            </w:r>
          </w:p>
        </w:tc>
        <w:tc>
          <w:tcPr/>
          <w:p>
            <w:pPr>
              <w:pStyle w:val="Compac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2019;41(6):861-869</w:t>
            </w:r>
          </w:p>
        </w:tc>
        <w:tc>
          <w:tcPr/>
          <w:p>
            <w:pPr>
              <w:pStyle w:val="Compact"/>
            </w:pPr>
            <w:r>
              <w:t xml:space="preserve">PMID:31761958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Moel M, Harinath G, Lee V, Nyquist A, Morgan SL, Isman A, et al.</w:t>
            </w:r>
          </w:p>
        </w:tc>
        <w:tc>
          <w:tcPr/>
          <w:p>
            <w:pPr>
              <w:pStyle w:val="Compact"/>
            </w:pPr>
            <w:r>
              <w:t xml:space="preserve">Aging (Albany NY)</w:t>
            </w:r>
          </w:p>
        </w:tc>
        <w:tc>
          <w:tcPr/>
          <w:p>
            <w:pPr>
              <w:pStyle w:val="Compact"/>
            </w:pPr>
            <w:r>
              <w:t xml:space="preserve">2025;17(4):840-863</w:t>
            </w:r>
          </w:p>
        </w:tc>
        <w:tc>
          <w:tcPr/>
          <w:p>
            <w:pPr>
              <w:pStyle w:val="Compact"/>
            </w:pPr>
            <w:r>
              <w:t xml:space="preserve">PMID:40188830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Brandhorst S, Choi IY, Wei M, Cheng CW, Sedrakyan S, Navarrete G, et al.</w:t>
            </w:r>
          </w:p>
        </w:tc>
        <w:tc>
          <w:tcPr/>
          <w:p>
            <w:pPr>
              <w:pStyle w:val="Compact"/>
            </w:pPr>
            <w:r>
              <w:t xml:space="preserve">Cell Metab</w:t>
            </w:r>
          </w:p>
        </w:tc>
        <w:tc>
          <w:tcPr/>
          <w:p>
            <w:pPr>
              <w:pStyle w:val="Compact"/>
            </w:pPr>
            <w:r>
              <w:t xml:space="preserve">2015;22(1):86-99</w:t>
            </w:r>
          </w:p>
        </w:tc>
        <w:tc>
          <w:tcPr/>
          <w:p>
            <w:pPr>
              <w:pStyle w:val="Compact"/>
            </w:pPr>
            <w:r>
              <w:t xml:space="preserve">PMID:26094889</w:t>
            </w:r>
          </w:p>
        </w:tc>
        <w:tc>
          <w:tcPr/>
          <w:p>
            <w:pPr>
              <w:pStyle w:val="Compact"/>
            </w:pPr>
            <w:r>
              <w:t xml:space="preserve">PubMed-verified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Collins J, Longhurst G, Roschel H, Gualano B.</w:t>
            </w:r>
          </w:p>
        </w:tc>
        <w:tc>
          <w:tcPr/>
          <w:p>
            <w:pPr>
              <w:pStyle w:val="Compact"/>
            </w:pPr>
            <w:r>
              <w:t xml:space="preserve">J Frailty Aging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doi:10.14283/jfa.2016.85</w:t>
            </w:r>
          </w:p>
        </w:tc>
        <w:tc>
          <w:tcPr/>
          <w:p>
            <w:pPr>
              <w:pStyle w:val="Compact"/>
            </w:pPr>
            <w:r>
              <w:t xml:space="preserve">DOI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Houston DK, Fanning J, Nicklas BJ, Delany JP, Hsu FC, Chen SH, et al.</w:t>
            </w:r>
          </w:p>
        </w:tc>
        <w:tc>
          <w:tcPr/>
          <w:p>
            <w:pPr>
              <w:pStyle w:val="Compact"/>
            </w:pPr>
            <w:r>
              <w:t xml:space="preserve">J Gerontol A Biol Sci Med Sci</w:t>
            </w:r>
          </w:p>
        </w:tc>
        <w:tc>
          <w:tcPr/>
          <w:p>
            <w:pPr>
              <w:pStyle w:val="Compact"/>
            </w:pPr>
            <w:r>
              <w:t xml:space="preserve">2026;81(4):glag061</w:t>
            </w:r>
          </w:p>
        </w:tc>
        <w:tc>
          <w:tcPr/>
          <w:p>
            <w:pPr>
              <w:pStyle w:val="Compact"/>
            </w:pPr>
            <w:r>
              <w:t xml:space="preserve">doi:10.1093/gerona/glag061</w:t>
            </w:r>
          </w:p>
        </w:tc>
        <w:tc>
          <w:tcPr/>
          <w:p>
            <w:pPr>
              <w:pStyle w:val="Compact"/>
            </w:pPr>
            <w:r>
              <w:t xml:space="preserve">PubMed-verified (PMID 41766355);</w:t>
            </w:r>
            <w:r>
              <w:t xml:space="preserve"> </w:t>
            </w:r>
            <w:r>
              <w:rPr>
                <w:b/>
                <w:bCs/>
              </w:rPr>
              <w:t xml:space="preserve">DOI confirmed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Olaso-Gonzalez G, Millan-Domingo F, Garcia-Fernandez L, Garcia-Tercero E, Cebrian M, Garcia-Dominguez C, et al.</w:t>
            </w:r>
          </w:p>
        </w:tc>
        <w:tc>
          <w:tcPr/>
          <w:p>
            <w:pPr>
              <w:pStyle w:val="Compact"/>
            </w:pPr>
            <w:r>
              <w:t xml:space="preserve">Aging Cell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doi:10.1111/acel.70376</w:t>
            </w:r>
          </w:p>
        </w:tc>
        <w:tc>
          <w:tcPr/>
          <w:p>
            <w:pPr>
              <w:pStyle w:val="Compact"/>
            </w:pPr>
            <w:r>
              <w:t xml:space="preserve">DOI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Ji J, Crespi CM, Yee L, Zekster YA, Al-Saleem A, Petersen L, et al.</w:t>
            </w:r>
          </w:p>
        </w:tc>
        <w:tc>
          <w:tcPr/>
          <w:p>
            <w:pPr>
              <w:pStyle w:val="Compact"/>
            </w:pPr>
            <w:r>
              <w:t xml:space="preserve">Ther Adv Med Oncol</w:t>
            </w:r>
          </w:p>
        </w:tc>
        <w:tc>
          <w:tcPr/>
          <w:p>
            <w:pPr>
              <w:pStyle w:val="Compact"/>
            </w:pPr>
            <w:r>
              <w:t xml:space="preserve">2026;18:17588359261424668</w:t>
            </w:r>
          </w:p>
        </w:tc>
        <w:tc>
          <w:tcPr/>
          <w:p>
            <w:pPr>
              <w:pStyle w:val="Compact"/>
            </w:pPr>
            <w:r>
              <w:t xml:space="preserve">doi:10.1177/17588359261424668</w:t>
            </w:r>
          </w:p>
        </w:tc>
        <w:tc>
          <w:tcPr/>
          <w:p>
            <w:pPr>
              <w:pStyle w:val="Compact"/>
            </w:pPr>
            <w:r>
              <w:t xml:space="preserve">DOI confirmed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Notes: Volume/issue/article and page numbers were added from PubMed, Crossref, and publisher records; entries verified directly against those sources are marked. Ref 6 was published in 2025 (eCollection January 2026); the publication year (2025) is used. Ref 12 (HALLO Pilot Study) DOI 10.1093/gerona/glag061 was independently re-checked against PubMed (PMID 41766355) and is correct. Where a DOI could not be confirmed, the PubMed identifier (PMID) is retained.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2026-06-23T08:53:14Z</dcterms:created>
  <dcterms:modified xsi:type="dcterms:W3CDTF">2026-06-23T08:53:14Z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