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Figures</w:t>
      </w:r>
    </w:p>
    <w:p>
      <w:pPr>
        <w:jc w:val="center"/>
      </w:pPr>
      <w:r>
        <w:drawing>
          <wp:inline xmlns:a="http://schemas.openxmlformats.org/drawingml/2006/main" xmlns:pic="http://schemas.openxmlformats.org/drawingml/2006/picture">
            <wp:extent cx="5303520" cy="6194910"/>
            <wp:docPr id="1" name="Picture 1"/>
            <wp:cNvGraphicFramePr>
              <a:graphicFrameLocks noChangeAspect="1"/>
            </wp:cNvGraphicFramePr>
            <a:graphic>
              <a:graphicData uri="http://schemas.openxmlformats.org/drawingml/2006/picture">
                <pic:pic>
                  <pic:nvPicPr>
                    <pic:cNvPr id="0" name="Figure1_participant_flow.png"/>
                    <pic:cNvPicPr/>
                  </pic:nvPicPr>
                  <pic:blipFill>
                    <a:blip r:embed="rId9"/>
                    <a:stretch>
                      <a:fillRect/>
                    </a:stretch>
                  </pic:blipFill>
                  <pic:spPr>
                    <a:xfrm>
                      <a:off x="0" y="0"/>
                      <a:ext cx="5303520" cy="6194910"/>
                    </a:xfrm>
                    <a:prstGeom prst="rect"/>
                  </pic:spPr>
                </pic:pic>
              </a:graphicData>
            </a:graphic>
          </wp:inline>
        </w:drawing>
      </w:r>
    </w:p>
    <w:p>
      <w:r>
        <w:rPr>
          <w:b/>
        </w:rPr>
        <w:t xml:space="preserve">Figure 1. </w:t>
      </w:r>
      <w:r>
        <w:t>STROBE participant-flow diagram from LASI respondents aged 45 years and older to the analytic sample, with exclusions and quality steps. LASI, Longitudinal Ageing Study in India.</w:t>
      </w:r>
    </w:p>
    <w:p>
      <w:r>
        <w:br w:type="page"/>
      </w:r>
    </w:p>
    <w:p>
      <w:pPr>
        <w:jc w:val="center"/>
      </w:pPr>
      <w:r>
        <w:drawing>
          <wp:inline xmlns:a="http://schemas.openxmlformats.org/drawingml/2006/main" xmlns:pic="http://schemas.openxmlformats.org/drawingml/2006/picture">
            <wp:extent cx="5303520" cy="2320538"/>
            <wp:docPr id="2" name="Picture 2"/>
            <wp:cNvGraphicFramePr>
              <a:graphicFrameLocks noChangeAspect="1"/>
            </wp:cNvGraphicFramePr>
            <a:graphic>
              <a:graphicData uri="http://schemas.openxmlformats.org/drawingml/2006/picture">
                <pic:pic>
                  <pic:nvPicPr>
                    <pic:cNvPr id="0" name="Figure2_quality_grades.png"/>
                    <pic:cNvPicPr/>
                  </pic:nvPicPr>
                  <pic:blipFill>
                    <a:blip r:embed="rId10"/>
                    <a:stretch>
                      <a:fillRect/>
                    </a:stretch>
                  </pic:blipFill>
                  <pic:spPr>
                    <a:xfrm>
                      <a:off x="0" y="0"/>
                      <a:ext cx="5303520" cy="2320538"/>
                    </a:xfrm>
                    <a:prstGeom prst="rect"/>
                  </pic:spPr>
                </pic:pic>
              </a:graphicData>
            </a:graphic>
          </wp:inline>
        </w:drawing>
      </w:r>
    </w:p>
    <w:p>
      <w:r>
        <w:rPr>
          <w:b/>
        </w:rPr>
        <w:t xml:space="preserve">Figure 2. </w:t>
      </w:r>
      <w:r>
        <w:t>Spirometry quality profile: (a) the grading funnel from attempted to acceptable to acceptable-and-repeatable tests; (b) acceptability among graded tests.</w:t>
      </w:r>
    </w:p>
    <w:p>
      <w:r>
        <w:br w:type="page"/>
      </w:r>
    </w:p>
    <w:p>
      <w:pPr>
        <w:jc w:val="center"/>
      </w:pPr>
      <w:r>
        <w:drawing>
          <wp:inline xmlns:a="http://schemas.openxmlformats.org/drawingml/2006/main" xmlns:pic="http://schemas.openxmlformats.org/drawingml/2006/picture">
            <wp:extent cx="5303520" cy="3345296"/>
            <wp:docPr id="3" name="Picture 3"/>
            <wp:cNvGraphicFramePr>
              <a:graphicFrameLocks noChangeAspect="1"/>
            </wp:cNvGraphicFramePr>
            <a:graphic>
              <a:graphicData uri="http://schemas.openxmlformats.org/drawingml/2006/picture">
                <pic:pic>
                  <pic:nvPicPr>
                    <pic:cNvPr id="0" name="Figure3_fvc_zdistribution.png"/>
                    <pic:cNvPicPr/>
                  </pic:nvPicPr>
                  <pic:blipFill>
                    <a:blip r:embed="rId11"/>
                    <a:stretch>
                      <a:fillRect/>
                    </a:stretch>
                  </pic:blipFill>
                  <pic:spPr>
                    <a:xfrm>
                      <a:off x="0" y="0"/>
                      <a:ext cx="5303520" cy="3345296"/>
                    </a:xfrm>
                    <a:prstGeom prst="rect"/>
                  </pic:spPr>
                </pic:pic>
              </a:graphicData>
            </a:graphic>
          </wp:inline>
        </w:drawing>
      </w:r>
    </w:p>
    <w:p>
      <w:r>
        <w:rPr>
          <w:b/>
        </w:rPr>
        <w:t xml:space="preserve">Figure 3. </w:t>
      </w:r>
      <w:r>
        <w:t>Distribution of forced vital capacity (FVC) z-scores against the GLI-2012 South-East Asian reference. The Indian median lies about one standard deviation below the reference mean (z = 0). GLI, Global Lung Function Initiative.</w:t>
      </w:r>
    </w:p>
    <w:p>
      <w:r>
        <w:br w:type="page"/>
      </w:r>
    </w:p>
    <w:p>
      <w:pPr>
        <w:jc w:val="center"/>
      </w:pPr>
      <w:r>
        <w:drawing>
          <wp:inline xmlns:a="http://schemas.openxmlformats.org/drawingml/2006/main" xmlns:pic="http://schemas.openxmlformats.org/drawingml/2006/picture">
            <wp:extent cx="5303520" cy="2623847"/>
            <wp:docPr id="4" name="Picture 4"/>
            <wp:cNvGraphicFramePr>
              <a:graphicFrameLocks noChangeAspect="1"/>
            </wp:cNvGraphicFramePr>
            <a:graphic>
              <a:graphicData uri="http://schemas.openxmlformats.org/drawingml/2006/picture">
                <pic:pic>
                  <pic:nvPicPr>
                    <pic:cNvPr id="0" name="Figure4_reference_comparison.png"/>
                    <pic:cNvPicPr/>
                  </pic:nvPicPr>
                  <pic:blipFill>
                    <a:blip r:embed="rId12"/>
                    <a:stretch>
                      <a:fillRect/>
                    </a:stretch>
                  </pic:blipFill>
                  <pic:spPr>
                    <a:xfrm>
                      <a:off x="0" y="0"/>
                      <a:ext cx="5303520" cy="2623847"/>
                    </a:xfrm>
                    <a:prstGeom prst="rect"/>
                  </pic:spPr>
                </pic:pic>
              </a:graphicData>
            </a:graphic>
          </wp:inline>
        </w:drawing>
      </w:r>
    </w:p>
    <w:p>
      <w:r>
        <w:rPr>
          <w:b/>
        </w:rPr>
        <w:t xml:space="preserve">Figure 4. </w:t>
      </w:r>
      <w:r>
        <w:t>Weighted prevalence of preserved ratio impaired spirometry (PRISm) and the restrictive spirometric pattern (RSP) under five reference equations and two thresholds (fixed and lower limit of normal). The same lungs yield PRISm prevalence from 46% to 4% depending on the reference; the dashed line marks the internal LASI healthy-subset estimate.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