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uggested-reviewers"/>
    <w:p>
      <w:pPr>
        <w:pStyle w:val="Heading1"/>
      </w:pPr>
      <w:r>
        <w:t xml:space="preserve">Suggested Reviewers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How Much Preserved Ratio Impaired Spirometry in Older Indians Is Real? (LASI Wave 1).</w:t>
      </w:r>
    </w:p>
    <w:p>
      <w:pPr>
        <w:pStyle w:val="BodyText"/>
      </w:pPr>
      <w:r>
        <w:t xml:space="preserve">The following independent areas of expertise are suggested for review. The author has no recent collaboration, shared institution, or conflict of interest with reviewers in these areas.</w:t>
      </w:r>
    </w:p>
    <w:bookmarkStart w:id="9" w:name="suggested-reviewers-1"/>
    <w:p>
      <w:pPr>
        <w:pStyle w:val="Heading2"/>
      </w:pPr>
      <w:r>
        <w:t xml:space="preserve">Suggested reviewers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Spirometry reference equations and lung-function measurement</w:t>
      </w:r>
      <w:r>
        <w:t xml:space="preserve"> </w:t>
      </w:r>
      <w:r>
        <w:t xml:space="preserve">— central to this manuscript, which compares five reference sets (GLI-2012, GLI-Global 2022 race-neutral, Chhabra-2014, Agarwal-2020, and an internal reference) and argues for nationally representative Indian equations. (Suggested area: pulmonary function / respiratory physiology.)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Indian respiratory epidemiology / burden-of-disease estimation</w:t>
      </w:r>
      <w:r>
        <w:t xml:space="preserve"> </w:t>
      </w:r>
      <w:r>
        <w:t xml:space="preserve">— for the national prevalence framing and its public-health interpretation. (Suggested area: chest medicine / pulmonary epidemiology, India.)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Ageing and frailty research using large population surveys (e.g., LASI, SAGE)</w:t>
      </w:r>
      <w:r>
        <w:t xml:space="preserve"> </w:t>
      </w:r>
      <w:r>
        <w:t xml:space="preserve">— for the analysis linking the spirometric patterns to frailty, handgrip strength, and functional limitation. (Suggested area: geriatric epidemiology.)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Non-communicable disease and the nutrition transition in India</w:t>
      </w:r>
      <w:r>
        <w:t xml:space="preserve"> </w:t>
      </w:r>
      <w:r>
        <w:t xml:space="preserve">— for the metabolic-nutritional determinant profile (underweight, obesity, diabetes) that distinguishes PRISm from obstruction. (Suggested area: community medicine / NCD epidemiology.)</w:t>
      </w:r>
    </w:p>
    <w:p>
      <w:pPr>
        <w:pStyle w:val="FirstParagraph"/>
      </w:pPr>
      <w:r>
        <w:rPr>
          <w:i/>
          <w:iCs/>
        </w:rPr>
        <w:t xml:space="preserve">Note to the Editor:</w:t>
      </w:r>
      <w:r>
        <w:t xml:space="preserve"> </w:t>
      </w:r>
      <w:r>
        <w:t xml:space="preserve">Named candidates with affiliations and e-mail addresses can be provided if preferred; generic descriptors are given here to avoid any appearance of suggesting close associates. The author requests that potential reviewers from his own institution be excluded.</w:t>
      </w:r>
    </w:p>
    <w:bookmarkEnd w:id="9"/>
    <w:bookmarkStart w:id="10" w:name="opposed-reviewers"/>
    <w:p>
      <w:pPr>
        <w:pStyle w:val="Heading2"/>
      </w:pPr>
      <w:r>
        <w:t xml:space="preserve">Opposed reviewers</w:t>
      </w:r>
    </w:p>
    <w:p>
      <w:pPr>
        <w:pStyle w:val="FirstParagraph"/>
      </w:pPr>
      <w:r>
        <w:t xml:space="preserve">None.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2026-07-07T20:34:28Z</dcterms:created>
  <dcterms:modified xsi:type="dcterms:W3CDTF">2026-07-07T20:34:28Z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