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upplementary-material"/>
    <w:p>
      <w:pPr>
        <w:pStyle w:val="Heading1"/>
      </w:pPr>
      <w:r>
        <w:t xml:space="preserve">Supplementary Material</w:t>
      </w:r>
    </w:p>
    <w:p>
      <w:pPr>
        <w:pStyle w:val="FirstParagraph"/>
      </w:pPr>
      <w:r>
        <w:rPr>
          <w:b/>
          <w:bCs/>
        </w:rPr>
        <w:t xml:space="preserve">How Much Preserved Ratio Impaired Spirometry in Older Indians Is Real? (LASI Wave 1).</w:t>
      </w:r>
    </w:p>
    <w:bookmarkStart w:id="13" w:name="supplementary-methods"/>
    <w:p>
      <w:pPr>
        <w:pStyle w:val="Heading2"/>
      </w:pPr>
      <w:r>
        <w:t xml:space="preserve">Supplementary Methods</w:t>
      </w:r>
    </w:p>
    <w:bookmarkStart w:id="9" w:name="analytic-sample-and-height-recovery"/>
    <w:p>
      <w:pPr>
        <w:pStyle w:val="Heading3"/>
      </w:pPr>
      <w:r>
        <w:t xml:space="preserve">Analytic sample and height recovery</w:t>
      </w:r>
    </w:p>
    <w:p>
      <w:pPr>
        <w:pStyle w:val="FirstParagraph"/>
      </w:pPr>
      <w:r>
        <w:t xml:space="preserve">The LASI Wave 1 harmonized file contained 66,470 adults aged ≥45 years. Of these, 50,256 had a graded spirometry attempt and 31,090 met the acceptability grade. Measured standing height (variable</w:t>
      </w:r>
      <w:r>
        <w:t xml:space="preserve"> </w:t>
      </w:r>
      <w:r>
        <w:rPr>
          <w:rStyle w:val="VerbatimChar"/>
        </w:rPr>
        <w:t xml:space="preserve">bm067</w:t>
      </w:r>
      <w:r>
        <w:t xml:space="preserve">, cm) was recovered from the raw LASI individual biomarker file and linked to the analytic file by participant key; after excluding implausible height (&lt;120 or &gt;210 cm; n = 94), 30,996 adults with height formed the analytic sample used for all reference-equation computations.</w:t>
      </w:r>
    </w:p>
    <w:bookmarkEnd w:id="9"/>
    <w:bookmarkStart w:id="10" w:name="X55a964053a5626cfe176b73833c87013e64902b"/>
    <w:p>
      <w:pPr>
        <w:pStyle w:val="Heading3"/>
      </w:pPr>
      <w:r>
        <w:t xml:space="preserve">Reference-equation identification and cross-validation</w:t>
      </w:r>
    </w:p>
    <w:p>
      <w:pPr>
        <w:pStyle w:val="FirstParagraph"/>
      </w:pPr>
      <w:r>
        <w:t xml:space="preserve">The reference embedded in the released LASI GLI fields was identified by computing GLI-2012 predicted FEV1 for each participant from age, sex, and measured height under each ethnic module and comparing with the supplied predicted values. The</w:t>
      </w:r>
      <w:r>
        <w:t xml:space="preserve"> </w:t>
      </w:r>
      <w:r>
        <w:rPr>
          <w:b/>
          <w:bCs/>
        </w:rPr>
        <w:t xml:space="preserve">South-East Asian module</w:t>
      </w:r>
      <w:r>
        <w:t xml:space="preserve"> </w:t>
      </w:r>
      <w:r>
        <w:t xml:space="preserve">reproduced the released values to a median absolute difference of 0.003 L (percent-predicted median 80.9 vs 80.9), identifying it as the equation used. Further references were computed with the open-source</w:t>
      </w:r>
      <w:r>
        <w:t xml:space="preserve"> </w:t>
      </w:r>
      <w:r>
        <w:rPr>
          <w:rStyle w:val="VerbatimChar"/>
        </w:rPr>
        <w:t xml:space="preserve">pyspiro</w:t>
      </w:r>
      <w:r>
        <w:t xml:space="preserve"> </w:t>
      </w:r>
      <w:r>
        <w:t xml:space="preserve">library, validated on this dataset as follows: its GLI-2012 South-East Asian output matched the released LASI values to &lt;0.01 L, and its Chhabra-2014 output matched an independent hand-coded implementation of the published coefficients to 0.0001 L.</w:t>
      </w:r>
    </w:p>
    <w:bookmarkEnd w:id="10"/>
    <w:bookmarkStart w:id="11" w:name="data-quality-disclosure"/>
    <w:p>
      <w:pPr>
        <w:pStyle w:val="Heading3"/>
      </w:pPr>
      <w:r>
        <w:t xml:space="preserve">Data-quality disclosure</w:t>
      </w:r>
    </w:p>
    <w:p>
      <w:pPr>
        <w:pStyle w:val="FirstParagraph"/>
      </w:pPr>
      <w:r>
        <w:t xml:space="preserve">In the released linked file, the FEV1 and FEV1/FVC z-score fields were non-informative (zero variance across all records) and were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used. The FVC z-score field retained valid variation (median −1.12) and was used only for the distributional figure (manuscript Figure 3). All lower-limit-of-normal (LLN) classifications were computed from reference-specific lower-limit values, not from the z-score fields.</w:t>
      </w:r>
    </w:p>
    <w:bookmarkEnd w:id="11"/>
    <w:bookmarkStart w:id="12" w:name="statistical-detail"/>
    <w:p>
      <w:pPr>
        <w:pStyle w:val="Heading3"/>
      </w:pPr>
      <w:r>
        <w:t xml:space="preserve">Statistical detail</w:t>
      </w:r>
    </w:p>
    <w:p>
      <w:pPr>
        <w:pStyle w:val="FirstParagraph"/>
      </w:pPr>
      <w:r>
        <w:t xml:space="preserve">Prevalence used the LASI spirometry survey weight; confidence intervals were computed on the Kish effective sample size (n_eff = (Σw)²/Σw²) using the Wilson score interval. Primary-sampling-unit and stratum identifiers were not available in the analytic file, so this is a documented approximation of the design-based variance. Determinants used multinomial logistic regression (normal spirometry reference); PRISm–ageing associations used binary logistic regression adjusted for age, sex, residence, smoking, and schooling. Analyses used Python 3 (pandas, statsmodels, pyspiro).</w:t>
      </w:r>
    </w:p>
    <w:bookmarkEnd w:id="12"/>
    <w:bookmarkEnd w:id="13"/>
    <w:bookmarkStart w:id="14" w:name="Xdba157f270469b2985ace29ecd8522c5a395061"/>
    <w:p>
      <w:pPr>
        <w:pStyle w:val="Heading2"/>
      </w:pPr>
      <w:r>
        <w:t xml:space="preserve">Supplementary Table S1. Full reference-equation comparison (analytic sample, n = 30,996)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(equation)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PRISm, % (95% CI)</w:t>
            </w:r>
          </w:p>
        </w:tc>
        <w:tc>
          <w:tcPr/>
          <w:p>
            <w:pPr>
              <w:pStyle w:val="Compact"/>
            </w:pPr>
            <w:r>
              <w:t xml:space="preserve">RSP, % (95% 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GLI-2012 South-East Asian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40.6 (39.7–41.5)</w:t>
            </w:r>
          </w:p>
        </w:tc>
        <w:tc>
          <w:tcPr/>
          <w:p>
            <w:pPr>
              <w:pStyle w:val="Compact"/>
            </w:pPr>
            <w:r>
              <w:t xml:space="preserve">37.8 (37.0–38.7)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GLI-2012 South-East Asian</w:t>
            </w:r>
          </w:p>
        </w:tc>
        <w:tc>
          <w:tcPr/>
          <w:p>
            <w:pPr>
              <w:pStyle w:val="Compact"/>
            </w:pPr>
            <w:r>
              <w:t xml:space="preserve">LLN</w:t>
            </w:r>
          </w:p>
        </w:tc>
        <w:tc>
          <w:tcPr/>
          <w:p>
            <w:pPr>
              <w:pStyle w:val="Compact"/>
            </w:pPr>
            <w:r>
              <w:t xml:space="preserve">27.6 (26.8–28.4)</w:t>
            </w:r>
          </w:p>
        </w:tc>
        <w:tc>
          <w:tcPr/>
          <w:p>
            <w:pPr>
              <w:pStyle w:val="Compact"/>
            </w:pPr>
            <w:r>
              <w:t xml:space="preserve">27.5 (26.7–28.3)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GLI-Global 2022 (race-neutral)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46.3 (45.4–47.2)</w:t>
            </w:r>
          </w:p>
        </w:tc>
        <w:tc>
          <w:tcPr/>
          <w:p>
            <w:pPr>
              <w:pStyle w:val="Compact"/>
            </w:pPr>
            <w:r>
              <w:t xml:space="preserve">46.7 (45.8–47.6)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GLI-Global 2022 (race-neutral)</w:t>
            </w:r>
          </w:p>
        </w:tc>
        <w:tc>
          <w:tcPr/>
          <w:p>
            <w:pPr>
              <w:pStyle w:val="Compact"/>
            </w:pPr>
            <w:r>
              <w:t xml:space="preserve">LLN</w:t>
            </w:r>
          </w:p>
        </w:tc>
        <w:tc>
          <w:tcPr/>
          <w:p>
            <w:pPr>
              <w:pStyle w:val="Compact"/>
            </w:pPr>
            <w:r>
              <w:t xml:space="preserve">32.5 (31.7–33.4)</w:t>
            </w:r>
          </w:p>
        </w:tc>
        <w:tc>
          <w:tcPr/>
          <w:p>
            <w:pPr>
              <w:pStyle w:val="Compact"/>
            </w:pPr>
            <w:r>
              <w:t xml:space="preserve">33.7 (32.8–34.5)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Chhabra-2014 (northern India)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18.6 (17.9–19.3)</w:t>
            </w:r>
          </w:p>
        </w:tc>
        <w:tc>
          <w:tcPr/>
          <w:p>
            <w:pPr>
              <w:pStyle w:val="Compact"/>
            </w:pPr>
            <w:r>
              <w:t xml:space="preserve">32.9 (32.0–33.7)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Chhabra-2014 (northern India)</w:t>
            </w:r>
          </w:p>
        </w:tc>
        <w:tc>
          <w:tcPr/>
          <w:p>
            <w:pPr>
              <w:pStyle w:val="Compact"/>
            </w:pPr>
            <w:r>
              <w:t xml:space="preserve">LLN</w:t>
            </w:r>
          </w:p>
        </w:tc>
        <w:tc>
          <w:tcPr/>
          <w:p>
            <w:pPr>
              <w:pStyle w:val="Compact"/>
            </w:pPr>
            <w:r>
              <w:t xml:space="preserve">10.8 (10.3–11.4)</w:t>
            </w:r>
          </w:p>
        </w:tc>
        <w:tc>
          <w:tcPr/>
          <w:p>
            <w:pPr>
              <w:pStyle w:val="Compact"/>
            </w:pPr>
            <w:r>
              <w:t xml:space="preserve">26.6 (25.9–27.4)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Agarwal-2020 (western India)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22.1 (21.3–22.8)</w:t>
            </w:r>
          </w:p>
        </w:tc>
        <w:tc>
          <w:tcPr/>
          <w:p>
            <w:pPr>
              <w:pStyle w:val="Compact"/>
            </w:pPr>
            <w:r>
              <w:t xml:space="preserve">27.5 (26.7–28.3)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Agarwal-2020 (western India)</w:t>
            </w:r>
          </w:p>
        </w:tc>
        <w:tc>
          <w:tcPr/>
          <w:p>
            <w:pPr>
              <w:pStyle w:val="Compact"/>
            </w:pPr>
            <w:r>
              <w:t xml:space="preserve">LLN</w:t>
            </w:r>
          </w:p>
        </w:tc>
        <w:tc>
          <w:tcPr/>
          <w:p>
            <w:pPr>
              <w:pStyle w:val="Compact"/>
            </w:pPr>
            <w:r>
              <w:t xml:space="preserve">11.8 (11.2–12.4)</w:t>
            </w:r>
          </w:p>
        </w:tc>
        <w:tc>
          <w:tcPr/>
          <w:p>
            <w:pPr>
              <w:pStyle w:val="Compact"/>
            </w:pPr>
            <w:r>
              <w:t xml:space="preserve">18.8 (18.1–19.5)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 LASI healthy-subset</w:t>
            </w:r>
          </w:p>
        </w:tc>
        <w:tc>
          <w:tcPr/>
          <w:p>
            <w:pPr>
              <w:pStyle w:val="Compact"/>
            </w:pPr>
            <w:r>
              <w:t xml:space="preserve">LLN</w:t>
            </w:r>
          </w:p>
        </w:tc>
        <w:tc>
          <w:tcPr/>
          <w:p>
            <w:pPr>
              <w:pStyle w:val="Compact"/>
            </w:pPr>
            <w:r>
              <w:t xml:space="preserve">3.9 (3.6–4.3)</w:t>
            </w:r>
          </w:p>
        </w:tc>
        <w:tc>
          <w:tcPr/>
          <w:p>
            <w:pPr>
              <w:pStyle w:val="Compact"/>
            </w:pPr>
            <w:r>
              <w:t xml:space="preserve">4.9 (4.6–5.3)</w:t>
            </w:r>
          </w:p>
        </w:tc>
      </w:tr>
    </w:tbl>
    <w:p>
      <w:pPr>
        <w:pStyle w:val="BodyText"/>
      </w:pPr>
      <w:r>
        <w:t xml:space="preserve">Airflow obstruction (ratio-based) was 13.3% (fixed) and 15.4% (LLN) and is comparatively reference-insensitive.</w:t>
      </w:r>
    </w:p>
    <w:bookmarkEnd w:id="14"/>
    <w:bookmarkStart w:id="15" w:name="Xc39cc52402d32fad107d9f03fdd44eb4c9f883a"/>
    <w:p>
      <w:pPr>
        <w:pStyle w:val="Heading2"/>
      </w:pPr>
      <w:r>
        <w:t xml:space="preserve">Supplementary Table S2. Included versus excluded participants (selection)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</w:pPr>
            <w:r>
              <w:t xml:space="preserve">Included (n=31,090)</w:t>
            </w:r>
          </w:p>
        </w:tc>
        <w:tc>
          <w:tcPr/>
          <w:p>
            <w:pPr>
              <w:pStyle w:val="Compact"/>
            </w:pPr>
            <w:r>
              <w:t xml:space="preserve">Excluded (n=19,166)</w:t>
            </w:r>
          </w:p>
        </w:tc>
        <w:tc>
          <w:tcPr/>
          <w:p>
            <w:pPr>
              <w:pStyle w:val="Compact"/>
            </w:pPr>
            <w:r>
              <w:t xml:space="preserve">Standardized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Age, years (mean)</w:t>
            </w:r>
          </w:p>
        </w:tc>
        <w:tc>
          <w:tcPr/>
          <w:p>
            <w:pPr>
              <w:pStyle w:val="Compact"/>
            </w:pPr>
            <w:r>
              <w:t xml:space="preserve">57.7</w:t>
            </w:r>
          </w:p>
        </w:tc>
        <w:tc>
          <w:tcPr/>
          <w:p>
            <w:pPr>
              <w:pStyle w:val="Compact"/>
            </w:pPr>
            <w:r>
              <w:t xml:space="preserve">59.8</w:t>
            </w:r>
          </w:p>
        </w:tc>
        <w:tc>
          <w:tcPr/>
          <w:p>
            <w:pPr>
              <w:pStyle w:val="Compact"/>
            </w:pPr>
            <w:r>
              <w:t xml:space="preserve">−0.22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Women, %</w:t>
            </w:r>
          </w:p>
        </w:tc>
        <w:tc>
          <w:tcPr/>
          <w:p>
            <w:pPr>
              <w:pStyle w:val="Compact"/>
            </w:pPr>
            <w:r>
              <w:t xml:space="preserve">49.0</w:t>
            </w:r>
          </w:p>
        </w:tc>
        <w:tc>
          <w:tcPr/>
          <w:p>
            <w:pPr>
              <w:pStyle w:val="Compact"/>
            </w:pPr>
            <w:r>
              <w:t xml:space="preserve">58.4</w:t>
            </w:r>
          </w:p>
        </w:tc>
        <w:tc>
          <w:tcPr/>
          <w:p>
            <w:pPr>
              <w:pStyle w:val="Compact"/>
            </w:pPr>
            <w:r>
              <w:t xml:space="preserve">−0.19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Frailty, %</w:t>
            </w:r>
          </w:p>
        </w:tc>
        <w:tc>
          <w:tcPr/>
          <w:p>
            <w:pPr>
              <w:pStyle w:val="Compact"/>
            </w:pPr>
            <w:r>
              <w:t xml:space="preserve">32.9</w:t>
            </w:r>
          </w:p>
        </w:tc>
        <w:tc>
          <w:tcPr/>
          <w:p>
            <w:pPr>
              <w:pStyle w:val="Compact"/>
            </w:pPr>
            <w:r>
              <w:t xml:space="preserve">39.1</w:t>
            </w:r>
          </w:p>
        </w:tc>
        <w:tc>
          <w:tcPr/>
          <w:p>
            <w:pPr>
              <w:pStyle w:val="Compact"/>
            </w:pPr>
            <w:r>
              <w:t xml:space="preserve">−0.13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limitation, %</w:t>
            </w:r>
          </w:p>
        </w:tc>
        <w:tc>
          <w:tcPr/>
          <w:p>
            <w:pPr>
              <w:pStyle w:val="Compact"/>
            </w:pPr>
            <w:r>
              <w:t xml:space="preserve">49.5</w:t>
            </w:r>
          </w:p>
        </w:tc>
        <w:tc>
          <w:tcPr/>
          <w:p>
            <w:pPr>
              <w:pStyle w:val="Compact"/>
            </w:pPr>
            <w:r>
              <w:t xml:space="preserve">56.0</w:t>
            </w:r>
          </w:p>
        </w:tc>
        <w:tc>
          <w:tcPr/>
          <w:p>
            <w:pPr>
              <w:pStyle w:val="Compact"/>
            </w:pPr>
            <w:r>
              <w:t xml:space="preserve">−0.13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Multimorbidity (≥2), %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t xml:space="preserve">−0.01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Diabetes, %</w:t>
            </w:r>
          </w:p>
        </w:tc>
        <w:tc>
          <w:tcPr/>
          <w:p>
            <w:pPr>
              <w:pStyle w:val="Compact"/>
            </w:pPr>
            <w:r>
              <w:t xml:space="preserve">12.0</w:t>
            </w:r>
          </w:p>
        </w:tc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−0.01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Chronic lung disease, %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Rural residence, %</w:t>
            </w:r>
          </w:p>
        </w:tc>
        <w:tc>
          <w:tcPr/>
          <w:p>
            <w:pPr>
              <w:pStyle w:val="Compact"/>
            </w:pPr>
            <w:r>
              <w:t xml:space="preserve">66.9</w:t>
            </w:r>
          </w:p>
        </w:tc>
        <w:tc>
          <w:tcPr/>
          <w:p>
            <w:pPr>
              <w:pStyle w:val="Compact"/>
            </w:pPr>
            <w:r>
              <w:t xml:space="preserve">64.8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</w:tr>
    </w:tbl>
    <w:p>
      <w:pPr>
        <w:pStyle w:val="BodyText"/>
      </w:pPr>
      <w:r>
        <w:t xml:space="preserve">Excluded participants were older and frailer; the resulting bias moves true prevalence upward, so the reported estimates are conservative with respect to selection.</w:t>
      </w:r>
    </w:p>
    <w:bookmarkEnd w:id="15"/>
    <w:bookmarkStart w:id="16" w:name="X9f35a9ac9d300536605bdda3f4de18839de9a12"/>
    <w:p>
      <w:pPr>
        <w:pStyle w:val="Heading2"/>
      </w:pPr>
      <w:r>
        <w:t xml:space="preserve">Supplementary Table S3. Internal LASI healthy-subset reference equations</w:t>
      </w:r>
    </w:p>
    <w:p>
      <w:pPr>
        <w:pStyle w:val="FirstParagraph"/>
      </w:pPr>
      <w:r>
        <w:t xml:space="preserve">Fitted by ordinary least squares among healthy participants (never-smokers, no self-reported lung disease, BMI 18.5–24.9 kg/m²); predicted value = constant + b_age·age(years) + b_ht·height(cm); LLN = predicted − 1.645 × RMSE.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b_age</w:t>
            </w:r>
          </w:p>
        </w:tc>
        <w:tc>
          <w:tcPr/>
          <w:p>
            <w:pPr>
              <w:pStyle w:val="Compact"/>
            </w:pPr>
            <w:r>
              <w:t xml:space="preserve">b_height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FVC (L)</w:t>
            </w:r>
          </w:p>
        </w:tc>
        <w:tc>
          <w:tcPr/>
          <w:p>
            <w:pPr>
              <w:pStyle w:val="Compact"/>
            </w:pPr>
            <w:r>
              <w:t xml:space="preserve">−1.669</w:t>
            </w:r>
          </w:p>
        </w:tc>
        <w:tc>
          <w:tcPr/>
          <w:p>
            <w:pPr>
              <w:pStyle w:val="Compact"/>
            </w:pPr>
            <w:r>
              <w:t xml:space="preserve">−0.02207</w:t>
            </w:r>
          </w:p>
        </w:tc>
        <w:tc>
          <w:tcPr/>
          <w:p>
            <w:pPr>
              <w:pStyle w:val="Compact"/>
            </w:pPr>
            <w:r>
              <w:t xml:space="preserve">0.03522</w:t>
            </w:r>
          </w:p>
        </w:tc>
        <w:tc>
          <w:tcPr/>
          <w:p>
            <w:pPr>
              <w:pStyle w:val="Compact"/>
            </w:pPr>
            <w:r>
              <w:t xml:space="preserve">0.572</w:t>
            </w:r>
          </w:p>
        </w:tc>
        <w:tc>
          <w:tcPr/>
          <w:p>
            <w:pPr>
              <w:pStyle w:val="Compact"/>
            </w:pPr>
            <w:r>
              <w:t xml:space="preserve">5,938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FEV1 (L)</w:t>
            </w:r>
          </w:p>
        </w:tc>
        <w:tc>
          <w:tcPr/>
          <w:p>
            <w:pPr>
              <w:pStyle w:val="Compact"/>
            </w:pPr>
            <w:r>
              <w:t xml:space="preserve">−0.492</w:t>
            </w:r>
          </w:p>
        </w:tc>
        <w:tc>
          <w:tcPr/>
          <w:p>
            <w:pPr>
              <w:pStyle w:val="Compact"/>
            </w:pPr>
            <w:r>
              <w:t xml:space="preserve">−0.02165</w:t>
            </w:r>
          </w:p>
        </w:tc>
        <w:tc>
          <w:tcPr/>
          <w:p>
            <w:pPr>
              <w:pStyle w:val="Compact"/>
            </w:pPr>
            <w:r>
              <w:t xml:space="preserve">0.02426</w:t>
            </w:r>
          </w:p>
        </w:tc>
        <w:tc>
          <w:tcPr/>
          <w:p>
            <w:pPr>
              <w:pStyle w:val="Compact"/>
            </w:pPr>
            <w:r>
              <w:t xml:space="preserve">0.468</w:t>
            </w:r>
          </w:p>
        </w:tc>
        <w:tc>
          <w:tcPr/>
          <w:p>
            <w:pPr>
              <w:pStyle w:val="Compact"/>
            </w:pPr>
            <w:r>
              <w:t xml:space="preserve">5,938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FVC (L)</w:t>
            </w:r>
          </w:p>
        </w:tc>
        <w:tc>
          <w:tcPr/>
          <w:p>
            <w:pPr>
              <w:pStyle w:val="Compact"/>
            </w:pPr>
            <w:r>
              <w:t xml:space="preserve">−0.888</w:t>
            </w:r>
          </w:p>
        </w:tc>
        <w:tc>
          <w:tcPr/>
          <w:p>
            <w:pPr>
              <w:pStyle w:val="Compact"/>
            </w:pPr>
            <w:r>
              <w:t xml:space="preserve">−0.01518</w:t>
            </w:r>
          </w:p>
        </w:tc>
        <w:tc>
          <w:tcPr/>
          <w:p>
            <w:pPr>
              <w:pStyle w:val="Compact"/>
            </w:pPr>
            <w:r>
              <w:t xml:space="preserve">0.02515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  <w:tc>
          <w:tcPr/>
          <w:p>
            <w:pPr>
              <w:pStyle w:val="Compact"/>
            </w:pPr>
            <w:r>
              <w:t xml:space="preserve">6,886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FEV1 (L)</w:t>
            </w:r>
          </w:p>
        </w:tc>
        <w:tc>
          <w:tcPr/>
          <w:p>
            <w:pPr>
              <w:pStyle w:val="Compact"/>
            </w:pPr>
            <w:r>
              <w:t xml:space="preserve">−0.382</w:t>
            </w:r>
          </w:p>
        </w:tc>
        <w:tc>
          <w:tcPr/>
          <w:p>
            <w:pPr>
              <w:pStyle w:val="Compact"/>
            </w:pPr>
            <w:r>
              <w:t xml:space="preserve">−0.01426</w:t>
            </w:r>
          </w:p>
        </w:tc>
        <w:tc>
          <w:tcPr/>
          <w:p>
            <w:pPr>
              <w:pStyle w:val="Compact"/>
            </w:pPr>
            <w:r>
              <w:t xml:space="preserve">0.01880</w:t>
            </w:r>
          </w:p>
        </w:tc>
        <w:tc>
          <w:tcPr/>
          <w:p>
            <w:pPr>
              <w:pStyle w:val="Compact"/>
            </w:pPr>
            <w:r>
              <w:t xml:space="preserve">0.365</w:t>
            </w:r>
          </w:p>
        </w:tc>
        <w:tc>
          <w:tcPr/>
          <w:p>
            <w:pPr>
              <w:pStyle w:val="Compact"/>
            </w:pPr>
            <w:r>
              <w:t xml:space="preserve">6,886</w:t>
            </w:r>
          </w:p>
        </w:tc>
      </w:tr>
    </w:tbl>
    <w:p>
      <w:pPr>
        <w:pStyle w:val="BodyText"/>
      </w:pPr>
      <w:r>
        <w:t xml:space="preserve">These are provided for transparency and reproducibility. They are illustrative rather than a gold-standard reference, because they are derived from the same field/handheld spirometry and share its measurement floor, and because</w:t>
      </w:r>
      <w:r>
        <w:t xml:space="preserve"> </w:t>
      </w:r>
      <w:r>
        <w:t xml:space="preserve">“healthy”</w:t>
      </w:r>
      <w:r>
        <w:t xml:space="preserve"> </w:t>
      </w:r>
      <w:r>
        <w:t xml:space="preserve">is defined from survey variables. They nonetheless bound the lower end of the plausible prevalence range and motivate deriving formally validated national reference equations.</w:t>
      </w:r>
    </w:p>
    <w:bookmarkEnd w:id="16"/>
    <w:bookmarkStart w:id="17" w:name="supplementary-note-on-prismrsp-overlap"/>
    <w:p>
      <w:pPr>
        <w:pStyle w:val="Heading2"/>
      </w:pPr>
      <w:r>
        <w:t xml:space="preserve">Supplementary Note on PRISm–RSP overlap</w:t>
      </w:r>
    </w:p>
    <w:p>
      <w:pPr>
        <w:pStyle w:val="FirstParagraph"/>
      </w:pPr>
      <w:r>
        <w:t xml:space="preserve">Under the GLI-2012 reference and fixed cut-offs, 84.3% of adults with PRISm also met the restrictive (low-FVC) criterion, confirming that preserved-ratio impairment in this population is predominantly a low-volume (restrictive) phenomenon rather than isolated FEV1 reduction. This is consistent with the reference-insensitivity of RSP relative to PRISm and with the downward shift of the whole FVC distribution (manuscript Figure 3).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2026-07-07T20:34:28Z</dcterms:created>
  <dcterms:modified xsi:type="dcterms:W3CDTF">2026-07-07T20:34:28Z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