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Letter</w:t>
      </w:r>
    </w:p>
    <w:p>
      <w:pPr>
        <w:pStyle w:val="BodyText"/>
      </w:pPr>
      <w:r>
        <w:t xml:space="preserve">Date: [date]</w:t>
      </w:r>
    </w:p>
    <w:p>
      <w:pPr>
        <w:pStyle w:val="BodyText"/>
      </w:pPr>
      <w:r>
        <w:t xml:space="preserve">To,</w:t>
      </w:r>
      <w:r>
        <w:t xml:space="preserve"> </w:t>
      </w:r>
      <w:r>
        <w:t xml:space="preserve">The Editor</w:t>
      </w:r>
      <w:r>
        <w:t xml:space="preserve"> </w:t>
      </w:r>
      <w:r>
        <w:t xml:space="preserve">Medical Journal of Dr. D.Y. Patil Vidyapeeth (MJDRDYPU)</w:t>
      </w:r>
    </w:p>
    <w:p>
      <w:pPr>
        <w:pStyle w:val="BodyText"/>
      </w:pPr>
      <w:r>
        <w:rPr>
          <w:b/>
          <w:bCs/>
        </w:rPr>
        <w:t xml:space="preserve">Re: Submission of</w:t>
      </w:r>
      <w:r>
        <w:rPr>
          <w:b/>
          <w:bCs/>
        </w:rPr>
        <w:t xml:space="preserve"> </w:t>
      </w:r>
      <w:r>
        <w:rPr>
          <w:b/>
          <w:bCs/>
        </w:rPr>
        <w:t xml:space="preserve">“Where the money goes: catastrophic spending, impoverishment, and the hidden cost of family care among older adults in India”</w:t>
      </w:r>
    </w:p>
    <w:p>
      <w:pPr>
        <w:pStyle w:val="BodyText"/>
      </w:pPr>
      <w:r>
        <w:t xml:space="preserve">Dear Editor,</w:t>
      </w:r>
    </w:p>
    <w:p>
      <w:pPr>
        <w:pStyle w:val="BodyText"/>
      </w:pPr>
      <w:r>
        <w:t xml:space="preserve">I am submitting the enclosed manuscript for consideration as an original article. Using nationally representative data from 31,766 older Indians in the Longitudinal Ageing Study in India, I show that the financing gap in elder care lies outside the hospital: fully covering inpatient care for those aged 70 and over, the design of the current PM-JAY expansion, removes only 2.0 percentage points of catastrophic health spending, while covering outpatient visits and medicines removes 17.8 points, almost nine times as much, for a comparable order of fiscal effort.</w:t>
      </w:r>
    </w:p>
    <w:p>
      <w:pPr>
        <w:pStyle w:val="BodyText"/>
      </w:pPr>
      <w:r>
        <w:t xml:space="preserve">This finding speaks directly to a live policy question in Indian elder care. PM-JAY’s 2024 expansion to all residents aged 70 and over represents a major financial commitment, and these results suggest where the next rupee of that commitment should go if the goal is to reduce catastrophic spending rather than simply widen hospital cover. The paper also quantifies, for the first time in this dataset, the replacement-cost value of unpaid family caregiving (Rs 1.3 lakh crore a year) and decomposes who bears the burden of catastrophic spending by income and by rural-urban residence. I believe this combination of catastrophic-spending, impoverishment, equity-decomposition, predictive and microsimulation evidence, brought together on a single nationally representative dataset, will be of interest to MJDRDYPU’s readership in health policy, geriatric medicine and public health.</w:t>
      </w:r>
    </w:p>
    <w:p>
      <w:pPr>
        <w:pStyle w:val="BodyText"/>
      </w:pPr>
      <w:r>
        <w:t xml:space="preserve">This manuscript is original, has not been published in whole or in part elsewhere, and is not under consideration at any other journal. I am the sole author and take full responsibility for the content. I have no conflicts of interest to declare and received no external funding for this work.</w:t>
      </w:r>
    </w:p>
    <w:p>
      <w:pPr>
        <w:pStyle w:val="BodyText"/>
      </w:pPr>
      <w:r>
        <w:t xml:space="preserve">Thank you for considering this manuscript. I look forward to your response.</w:t>
      </w:r>
    </w:p>
    <w:p>
      <w:pPr>
        <w:pStyle w:val="BodyText"/>
      </w:pPr>
      <w:r>
        <w:t xml:space="preserve">Sincerely,</w:t>
      </w:r>
    </w:p>
    <w:p>
      <w:pPr>
        <w:pStyle w:val="BodyText"/>
      </w:pPr>
      <w:r>
        <w:t xml:space="preserve">[Author name]</w:t>
      </w:r>
      <w:r>
        <w:t xml:space="preserve"> </w:t>
      </w:r>
      <w:r>
        <w:t xml:space="preserve">[Affiliation]</w:t>
      </w:r>
      <w:r>
        <w:t xml:space="preserve"> </w:t>
      </w:r>
      <w:r>
        <w:t xml:space="preserve">[Email] | [Phone] | [ORCID]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2026-06-26T11:01:47Z</dcterms:created>
  <dcterms:modified xsi:type="dcterms:W3CDTF">2026-06-26T11:01:47Z</dcterms:modified>
</cp:coreProperties>
</file>

<file path=docProps/custom.xml><?xml version="1.0" encoding="utf-8"?>
<Properties xmlns="http://schemas.openxmlformats.org/officeDocument/2006/custom-properties" xmlns:vt="http://schemas.openxmlformats.org/officeDocument/2006/docPropsVTypes"/>
</file>