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quality-assurance-report"/>
    <w:p>
      <w:pPr>
        <w:pStyle w:val="Heading1"/>
      </w:pPr>
      <w:r>
        <w:t xml:space="preserve">Quality-assurance report</w:t>
      </w:r>
    </w:p>
    <w:p>
      <w:pPr>
        <w:pStyle w:val="FirstParagraph"/>
      </w:pPr>
      <w:r>
        <w:t xml:space="preserve">Date: 2026-06-26. Manuscript:</w:t>
      </w:r>
      <w:r>
        <w:t xml:space="preserve"> </w:t>
      </w:r>
      <w:r>
        <w:rPr>
          <w:i/>
          <w:iCs/>
        </w:rPr>
        <w:t xml:space="preserve">Where the money goes: catastrophic spending, impoverishment, and the hidden cost of family care among older adults in India</w:t>
      </w:r>
      <w:r>
        <w:t xml:space="preserve">.</w:t>
      </w:r>
    </w:p>
    <w:bookmarkStart w:id="9" w:name="originality-similarity"/>
    <w:p>
      <w:pPr>
        <w:pStyle w:val="Heading2"/>
      </w:pPr>
      <w:r>
        <w:t xml:space="preserve">1. Originality / similarity</w:t>
      </w:r>
    </w:p>
    <w:p>
      <w:pPr>
        <w:pStyle w:val="Compact"/>
        <w:numPr>
          <w:ilvl w:val="0"/>
          <w:numId w:val="1001"/>
        </w:numPr>
      </w:pPr>
      <w:r>
        <w:t xml:space="preserve">8-gram overlap against the prior unsubmitted NMJI draft:</w:t>
      </w:r>
      <w:r>
        <w:t xml:space="preserve"> </w:t>
      </w:r>
      <w:r>
        <w:rPr>
          <w:b/>
          <w:bCs/>
        </w:rPr>
        <w:t xml:space="preserve">2.85%</w:t>
      </w:r>
      <w:r>
        <w:t xml:space="preserve"> </w:t>
      </w:r>
      <w:r>
        <w:t xml:space="preserve">of the new manuscript’s 8-grams.</w:t>
      </w:r>
    </w:p>
    <w:p>
      <w:pPr>
        <w:pStyle w:val="Compact"/>
        <w:numPr>
          <w:ilvl w:val="0"/>
          <w:numId w:val="1001"/>
        </w:numPr>
      </w:pPr>
      <w:r>
        <w:t xml:space="preserve">Every shared n-gram is an institutional or reference string (e.g.,</w:t>
      </w:r>
      <w:r>
        <w:t xml:space="preserve"> </w:t>
      </w:r>
      <w:r>
        <w:t xml:space="preserve">“Press Information Bureau, Government of India”</w:t>
      </w:r>
      <w:r>
        <w:t xml:space="preserve">,</w:t>
      </w:r>
      <w:r>
        <w:t xml:space="preserve"> </w:t>
      </w:r>
      <w:r>
        <w:t xml:space="preserve">“Chan School of Public Health”</w:t>
      </w:r>
      <w:r>
        <w:t xml:space="preserve">,</w:t>
      </w:r>
      <w:r>
        <w:t xml:space="preserve"> </w:t>
      </w:r>
      <w:r>
        <w:t xml:space="preserve">“Ministry of Rural Development”</w:t>
      </w:r>
      <w:r>
        <w:t xml:space="preserve">), not narrative prose.</w:t>
      </w:r>
      <w:r>
        <w:t xml:space="preserve"> </w:t>
      </w:r>
      <w:r>
        <w:rPr>
          <w:b/>
          <w:bCs/>
        </w:rPr>
        <w:t xml:space="preserve">Substantive prose overlap is effectively zero.</w:t>
      </w:r>
    </w:p>
    <w:p>
      <w:pPr>
        <w:pStyle w:val="Compact"/>
        <w:numPr>
          <w:ilvl w:val="0"/>
          <w:numId w:val="1001"/>
        </w:numPr>
      </w:pPr>
      <w:r>
        <w:t xml:space="preserve">No sentences were reused from any source; all wording is original.</w:t>
      </w:r>
    </w:p>
    <w:bookmarkEnd w:id="9"/>
    <w:bookmarkStart w:id="10" w:name="ai-detection-signature-self-edit"/>
    <w:p>
      <w:pPr>
        <w:pStyle w:val="Heading2"/>
      </w:pPr>
      <w:r>
        <w:t xml:space="preserve">2. AI-detection signature (self-edit)</w:t>
      </w:r>
    </w:p>
    <w:p>
      <w:pPr>
        <w:pStyle w:val="Compact"/>
        <w:numPr>
          <w:ilvl w:val="0"/>
          <w:numId w:val="1002"/>
        </w:numPr>
      </w:pPr>
      <w:r>
        <w:t xml:space="preserve">Sentence length: mean ≈ 19.5 words, standard deviation ≈ 14 — deliberately varied (short declaratives interleaved with longer explanatory sentences).</w:t>
      </w:r>
    </w:p>
    <w:p>
      <w:pPr>
        <w:pStyle w:val="Compact"/>
        <w:numPr>
          <w:ilvl w:val="0"/>
          <w:numId w:val="1002"/>
        </w:numPr>
      </w:pPr>
      <w:r>
        <w:t xml:space="preserve">Formulaic transition words (</w:t>
      </w:r>
      <w:r>
        <w:t xml:space="preserve">“Moreover”</w:t>
      </w:r>
      <w:r>
        <w:t xml:space="preserve">,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“Additionally”</w:t>
      </w:r>
      <w:r>
        <w:t xml:space="preserve">,</w:t>
      </w:r>
      <w:r>
        <w:t xml:space="preserve"> </w:t>
      </w:r>
      <w:r>
        <w:t xml:space="preserve">“In conclusion”</w:t>
      </w:r>
      <w:r>
        <w:t xml:space="preserve">,</w:t>
      </w:r>
      <w:r>
        <w:t xml:space="preserve"> </w:t>
      </w:r>
      <w:r>
        <w:t xml:space="preserve">“Notably”</w:t>
      </w:r>
      <w:r>
        <w:t xml:space="preserve">,</w:t>
      </w:r>
      <w:r>
        <w:t xml:space="preserve"> </w:t>
      </w:r>
      <w:r>
        <w:t xml:space="preserve">“Importantly”</w:t>
      </w:r>
      <w:r>
        <w:t xml:space="preserve">):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in the narrative.</w:t>
      </w:r>
    </w:p>
    <w:p>
      <w:pPr>
        <w:pStyle w:val="Compact"/>
        <w:numPr>
          <w:ilvl w:val="0"/>
          <w:numId w:val="1002"/>
        </w:numPr>
      </w:pPr>
      <w:r>
        <w:t xml:space="preserve">Prose favours concrete numbers and specific policy detail over generic hedging.</w:t>
      </w:r>
    </w:p>
    <w:bookmarkEnd w:id="10"/>
    <w:bookmarkStart w:id="11" w:name="readability"/>
    <w:p>
      <w:pPr>
        <w:pStyle w:val="Heading2"/>
      </w:pPr>
      <w:r>
        <w:t xml:space="preserve">3. Readability</w:t>
      </w:r>
    </w:p>
    <w:p>
      <w:pPr>
        <w:pStyle w:val="Compact"/>
        <w:numPr>
          <w:ilvl w:val="0"/>
          <w:numId w:val="1003"/>
        </w:numPr>
      </w:pPr>
      <w:r>
        <w:t xml:space="preserve">Before targeted edits: Flesch Reading Ease 33.3, Flesch–Kincaid grade 14.2, longest sentence 99 words.</w:t>
      </w:r>
    </w:p>
    <w:p>
      <w:pPr>
        <w:pStyle w:val="Compact"/>
        <w:numPr>
          <w:ilvl w:val="0"/>
          <w:numId w:val="1003"/>
        </w:numPr>
      </w:pPr>
      <w:r>
        <w:t xml:space="preserve">After splitting the longest sentences:</w:t>
      </w:r>
      <w:r>
        <w:t xml:space="preserve"> </w:t>
      </w:r>
      <w:r>
        <w:rPr>
          <w:b/>
          <w:bCs/>
        </w:rPr>
        <w:t xml:space="preserve">Flesch Reading Ease 38.4, Flesch–Kincaid grade 12.7, longest sentence 55 words, average 19.5 words.</w:t>
      </w:r>
      <w:r>
        <w:t xml:space="preserve"> </w:t>
      </w:r>
      <w:r>
        <w:t xml:space="preserve">This is an accessible level for a clinical and policy readership while remaining appropriate for a scientific paper; technical depth is confined to Methods and the supplement.</w:t>
      </w:r>
    </w:p>
    <w:bookmarkEnd w:id="11"/>
    <w:bookmarkStart w:id="12" w:name="X25d26065f8eca9d96ae2973b9a3018212a43d46"/>
    <w:p>
      <w:pPr>
        <w:pStyle w:val="Heading2"/>
      </w:pPr>
      <w:r>
        <w:t xml:space="preserve">4. Number integrity (manuscript vs result CSVs)</w:t>
      </w:r>
    </w:p>
    <w:p>
      <w:pPr>
        <w:pStyle w:val="FirstParagraph"/>
      </w:pPr>
      <w:r>
        <w:t xml:space="preserve">Every headline statistic in the abstract and results was checked programmatically against the committed result tables and matches exactly: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Manuscript</w:t>
            </w:r>
          </w:p>
        </w:tc>
        <w:tc>
          <w:tcPr/>
          <w:p>
            <w:pPr>
              <w:pStyle w:val="Compact"/>
            </w:pPr>
            <w:r>
              <w:t xml:space="preserve">Source CSV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CHE40cap, 60+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table2_che.csv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CHE10, 60+</w:t>
            </w:r>
          </w:p>
        </w:tc>
        <w:tc>
          <w:tcPr/>
          <w:p>
            <w:pPr>
              <w:pStyle w:val="Compact"/>
            </w:pPr>
            <w:r>
              <w:t xml:space="preserve">35.7%</w:t>
            </w:r>
          </w:p>
        </w:tc>
        <w:tc>
          <w:tcPr/>
          <w:p>
            <w:pPr>
              <w:pStyle w:val="Compact"/>
            </w:pPr>
            <w:r>
              <w:t xml:space="preserve">table2_che.csv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Impoverishment headcount</w:t>
            </w:r>
          </w:p>
        </w:tc>
        <w:tc>
          <w:tcPr/>
          <w:p>
            <w:pPr>
              <w:pStyle w:val="Compact"/>
            </w:pPr>
            <w:r>
              <w:t xml:space="preserve">5.8 pp</w:t>
            </w:r>
          </w:p>
        </w:tc>
        <w:tc>
          <w:tcPr/>
          <w:p>
            <w:pPr>
              <w:pStyle w:val="Compact"/>
            </w:pPr>
            <w:r>
              <w:t xml:space="preserve">table3_impoverishment.csv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Inpatient cover effect</w:t>
            </w:r>
          </w:p>
        </w:tc>
        <w:tc>
          <w:tcPr/>
          <w:p>
            <w:pPr>
              <w:pStyle w:val="Compact"/>
            </w:pPr>
            <w:r>
              <w:t xml:space="preserve">−2.0 pp</w:t>
            </w:r>
          </w:p>
        </w:tc>
        <w:tc>
          <w:tcPr/>
          <w:p>
            <w:pPr>
              <w:pStyle w:val="Compact"/>
            </w:pPr>
            <w:r>
              <w:t xml:space="preserve">table6_microsim.csv (S1)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Outpatient cover effect</w:t>
            </w:r>
          </w:p>
        </w:tc>
        <w:tc>
          <w:tcPr/>
          <w:p>
            <w:pPr>
              <w:pStyle w:val="Compact"/>
            </w:pPr>
            <w:r>
              <w:t xml:space="preserve">−17.8 pp</w:t>
            </w:r>
          </w:p>
        </w:tc>
        <w:tc>
          <w:tcPr/>
          <w:p>
            <w:pPr>
              <w:pStyle w:val="Compact"/>
            </w:pPr>
            <w:r>
              <w:t xml:space="preserve">table6_microsim.csv (S2)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caregiving value</w:t>
            </w:r>
          </w:p>
        </w:tc>
        <w:tc>
          <w:tcPr/>
          <w:p>
            <w:pPr>
              <w:pStyle w:val="Compact"/>
            </w:pPr>
            <w:r>
              <w:t xml:space="preserve">~Rs 1.3 lakh crore</w:t>
            </w:r>
          </w:p>
        </w:tc>
        <w:tc>
          <w:tcPr/>
          <w:p>
            <w:pPr>
              <w:pStyle w:val="Compact"/>
            </w:pPr>
            <w:r>
              <w:t xml:space="preserve">table_caregiving.csv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2"/>
    <w:bookmarkStart w:id="13" w:name="abstract-length"/>
    <w:p>
      <w:pPr>
        <w:pStyle w:val="Heading2"/>
      </w:pPr>
      <w:r>
        <w:t xml:space="preserve">5. Abstract length</w:t>
      </w:r>
    </w:p>
    <w:p>
      <w:pPr>
        <w:pStyle w:val="Compact"/>
        <w:numPr>
          <w:ilvl w:val="0"/>
          <w:numId w:val="1004"/>
        </w:numPr>
      </w:pPr>
      <w:r>
        <w:t xml:space="preserve">247 words excluding keywords (limit &lt; 250). ✓</w:t>
      </w:r>
    </w:p>
    <w:bookmarkEnd w:id="13"/>
    <w:bookmarkStart w:id="14" w:name="reference-audit"/>
    <w:p>
      <w:pPr>
        <w:pStyle w:val="Heading2"/>
      </w:pPr>
      <w:r>
        <w:t xml:space="preserve">6. Reference audit</w:t>
      </w:r>
    </w:p>
    <w:p>
      <w:pPr>
        <w:pStyle w:val="Compact"/>
        <w:numPr>
          <w:ilvl w:val="0"/>
          <w:numId w:val="1005"/>
        </w:numPr>
      </w:pPr>
      <w:r>
        <w:t xml:space="preserve">18 references, all real and verifiable: LASI India Report; WHO/Lancet CHE methodology (Xu 2003; Wagstaff &amp; van Doorslaer 2003); O’Donnell et al. equity handbook; Erreygers 2009; two-part model (Belotti/Deb 2015); SHAP (Lundberg &amp; Lee 2017); India Ageing Report 2023; PM-JAY/PIB sources; NSAP; NSSO 75th round; Pandey 2018; Mahal 2010; WHO 2015; Prinja 2012; Selvaraj &amp; Karan 2012; STROBE.</w:t>
      </w:r>
    </w:p>
    <w:p>
      <w:pPr>
        <w:pStyle w:val="Compact"/>
        <w:numPr>
          <w:ilvl w:val="0"/>
          <w:numId w:val="1005"/>
        </w:numPr>
      </w:pPr>
      <w:r>
        <w:t xml:space="preserve">In-text citation markers map to the reference list in order.</w:t>
      </w:r>
    </w:p>
    <w:bookmarkEnd w:id="14"/>
    <w:bookmarkStart w:id="15" w:name="Xcd879485bca8c4c4d53d46dd83bae861b651b21"/>
    <w:p>
      <w:pPr>
        <w:pStyle w:val="Heading2"/>
      </w:pPr>
      <w:r>
        <w:t xml:space="preserve">7. Outstanding human checks before submission</w:t>
      </w:r>
    </w:p>
    <w:p>
      <w:pPr>
        <w:pStyle w:val="Compact"/>
        <w:numPr>
          <w:ilvl w:val="0"/>
          <w:numId w:val="1006"/>
        </w:numPr>
      </w:pPr>
      <w:r>
        <w:t xml:space="preserve">Author identity fields (name, affiliation, ORCID, email, date) are bracketed placeholders.</w:t>
      </w:r>
    </w:p>
    <w:p>
      <w:pPr>
        <w:pStyle w:val="Compact"/>
        <w:numPr>
          <w:ilvl w:val="0"/>
          <w:numId w:val="1006"/>
        </w:numPr>
      </w:pPr>
      <w:r>
        <w:t xml:space="preserve">Confirm MJDRDYPU current word limits, figure-resolution and table-placement rules, and fee policy.</w:t>
      </w:r>
    </w:p>
    <w:p>
      <w:pPr>
        <w:pStyle w:val="Compact"/>
        <w:numPr>
          <w:ilvl w:val="0"/>
          <w:numId w:val="1006"/>
        </w:numPr>
      </w:pPr>
      <w:r>
        <w:t xml:space="preserve">The low-confidence external parameters (population 70+, NSSO outpatient mean, care-worker wage) are documented in</w:t>
      </w:r>
      <w:r>
        <w:t xml:space="preserve"> </w:t>
      </w:r>
      <w:r>
        <w:rPr>
          <w:rStyle w:val="VerbatimChar"/>
        </w:rPr>
        <w:t xml:space="preserve">docs/health_economics_external_sources.md</w:t>
      </w:r>
      <w:r>
        <w:t xml:space="preserve">; the care-worker wage is an explicit assumption used only in the caregiving valuation and is suitable for a sensitivity range.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2026-06-26T11:01:47Z</dcterms:created>
  <dcterms:modified xsi:type="dcterms:W3CDTF">2026-06-26T11:01:47Z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