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tables"/>
    <w:p>
      <w:pPr>
        <w:pStyle w:val="Heading1"/>
      </w:pPr>
      <w:r>
        <w:t xml:space="preserve">Tables</w:t>
      </w:r>
    </w:p>
    <w:bookmarkStart w:id="9" w:name="X9a96f2b4e10f4368aecf32357dbb4995ba206d0"/>
    <w:p>
      <w:pPr>
        <w:pStyle w:val="Heading2"/>
      </w:pPr>
      <w:r>
        <w:t xml:space="preserve">Table 1. Characteristics of the analytic sample, adults aged 60 and over (LASI Wave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pPr>
            <w:r>
              <w:t xml:space="preserve">Value</w:t>
            </w:r>
          </w:p>
        </w:tc>
      </w:tr>
      <w:tr>
        <w:tc>
          <w:tcPr/>
          <w:p>
            <w:pPr>
              <w:pStyle w:val="Compact"/>
            </w:pPr>
            <w:r>
              <w:t xml:space="preserve">Unweighted sample size</w:t>
            </w:r>
          </w:p>
        </w:tc>
        <w:tc>
          <w:tcPr/>
          <w:p>
            <w:pPr>
              <w:pStyle w:val="Compact"/>
            </w:pPr>
            <w:r>
              <w:t xml:space="preserve">31,766</w:t>
            </w:r>
          </w:p>
        </w:tc>
      </w:tr>
      <w:tr>
        <w:tc>
          <w:tcPr/>
          <w:p>
            <w:pPr>
              <w:pStyle w:val="Compact"/>
            </w:pPr>
            <w:r>
              <w:t xml:space="preserve">Female</w:t>
            </w:r>
          </w:p>
        </w:tc>
        <w:tc>
          <w:tcPr/>
          <w:p>
            <w:pPr>
              <w:pStyle w:val="Compact"/>
            </w:pPr>
            <w:r>
              <w:t xml:space="preserve">50.8%</w:t>
            </w:r>
          </w:p>
        </w:tc>
      </w:tr>
      <w:tr>
        <w:tc>
          <w:tcPr/>
          <w:p>
            <w:pPr>
              <w:pStyle w:val="Compact"/>
            </w:pPr>
            <w:r>
              <w:t xml:space="preserve">Rural residence</w:t>
            </w:r>
          </w:p>
        </w:tc>
        <w:tc>
          <w:tcPr/>
          <w:p>
            <w:pPr>
              <w:pStyle w:val="Compact"/>
            </w:pPr>
            <w:r>
              <w:t xml:space="preserve">69.3%</w:t>
            </w:r>
          </w:p>
        </w:tc>
      </w:tr>
      <w:tr>
        <w:tc>
          <w:tcPr/>
          <w:p>
            <w:pPr>
              <w:pStyle w:val="Compact"/>
            </w:pPr>
            <w:r>
              <w:t xml:space="preserve">Multimorbidity (2+ chronic conditions)</w:t>
            </w:r>
          </w:p>
        </w:tc>
        <w:tc>
          <w:tcPr/>
          <w:p>
            <w:pPr>
              <w:pStyle w:val="Compact"/>
            </w:pPr>
            <w:r>
              <w:t xml:space="preserve">23.2%</w:t>
            </w:r>
          </w:p>
        </w:tc>
      </w:tr>
      <w:tr>
        <w:tc>
          <w:tcPr/>
          <w:p>
            <w:pPr>
              <w:pStyle w:val="Compact"/>
            </w:pPr>
            <w:r>
              <w:t xml:space="preserve">Functional limitation</w:t>
            </w:r>
          </w:p>
        </w:tc>
        <w:tc>
          <w:tcPr/>
          <w:p>
            <w:pPr>
              <w:pStyle w:val="Compact"/>
            </w:pPr>
            <w:r>
              <w:t xml:space="preserve">70.8%</w:t>
            </w:r>
          </w:p>
        </w:tc>
      </w:tr>
      <w:tr>
        <w:tc>
          <w:tcPr/>
          <w:p>
            <w:pPr>
              <w:pStyle w:val="Compact"/>
            </w:pPr>
            <w:r>
              <w:t xml:space="preserve">Living alone</w:t>
            </w:r>
          </w:p>
        </w:tc>
        <w:tc>
          <w:tcPr/>
          <w:p>
            <w:pPr>
              <w:pStyle w:val="Compact"/>
            </w:pPr>
            <w:r>
              <w:t xml:space="preserve">5.5%</w:t>
            </w:r>
          </w:p>
        </w:tc>
      </w:tr>
      <w:tr>
        <w:tc>
          <w:tcPr/>
          <w:p>
            <w:pPr>
              <w:pStyle w:val="Compact"/>
            </w:pPr>
            <w:r>
              <w:t xml:space="preserve">Receiving any pension</w:t>
            </w:r>
          </w:p>
        </w:tc>
        <w:tc>
          <w:tcPr/>
          <w:p>
            <w:pPr>
              <w:pStyle w:val="Compact"/>
            </w:pPr>
            <w:r>
              <w:t xml:space="preserve">13.6%</w:t>
            </w:r>
          </w:p>
        </w:tc>
      </w:tr>
      <w:tr>
        <w:tc>
          <w:tcPr/>
          <w:p>
            <w:pPr>
              <w:pStyle w:val="Compact"/>
            </w:pPr>
            <w:r>
              <w:t xml:space="preserve">Any out-of-pocket health spending</w:t>
            </w:r>
          </w:p>
        </w:tc>
        <w:tc>
          <w:tcPr/>
          <w:p>
            <w:pPr>
              <w:pStyle w:val="Compact"/>
            </w:pPr>
            <w:r>
              <w:t xml:space="preserve">77.3%</w:t>
            </w:r>
          </w:p>
        </w:tc>
      </w:tr>
      <w:tr>
        <w:tc>
          <w:tcPr/>
          <w:p>
            <w:pPr>
              <w:pStyle w:val="Compact"/>
            </w:pPr>
            <w:r>
              <w:t xml:space="preserve">Annual out-of-pocket spending, median (mean)</w:t>
            </w:r>
          </w:p>
        </w:tc>
        <w:tc>
          <w:tcPr/>
          <w:p>
            <w:pPr>
              <w:pStyle w:val="Compact"/>
            </w:pPr>
            <w:r>
              <w:t xml:space="preserve">Rs 7,155 (Rs 23,230)</w:t>
            </w:r>
          </w:p>
        </w:tc>
      </w:tr>
      <w:tr>
        <w:tc>
          <w:tcPr/>
          <w:p>
            <w:pPr>
              <w:pStyle w:val="Compact"/>
            </w:pPr>
            <w:r>
              <w:t xml:space="preserve">Annual household consumption, median (mean)</w:t>
            </w:r>
          </w:p>
        </w:tc>
        <w:tc>
          <w:tcPr/>
          <w:p>
            <w:pPr>
              <w:pStyle w:val="Compact"/>
            </w:pPr>
            <w:r>
              <w:t xml:space="preserve">Rs 140,155 (Rs 183,583)</w:t>
            </w:r>
          </w:p>
        </w:tc>
      </w:tr>
    </w:tbl>
    <w:p>
      <w:pPr>
        <w:pStyle w:val="BodyText"/>
      </w:pPr>
      <w:r>
        <w:rPr>
          <w:i/>
          <w:iCs/>
        </w:rPr>
        <w:t xml:space="preserve">Note.</w:t>
      </w:r>
      <w:r>
        <w:t xml:space="preserve"> </w:t>
      </w:r>
      <w:r>
        <w:t xml:space="preserve">Figures are weighted percentages or weighted medians/means unless stated as unweighted counts; out-of-pocket spending and consumption are household-level, annualised, and expressed in constant 2017 rupees.</w:t>
      </w:r>
    </w:p>
    <w:bookmarkEnd w:id="9"/>
    <w:bookmarkStart w:id="10" w:name="X41eca8a101aa9c8e0098b8c9185914d9df5789a"/>
    <w:p>
      <w:pPr>
        <w:pStyle w:val="Heading2"/>
      </w:pPr>
      <w:r>
        <w:t xml:space="preserve">Table 2. Catastrophic health expenditure (CHE) by threshold and group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n</w:t>
            </w:r>
          </w:p>
        </w:tc>
        <w:tc>
          <w:tcPr/>
          <w:p>
            <w:pPr>
              <w:pStyle w:val="Compact"/>
            </w:pPr>
            <w:r>
              <w:t xml:space="preserve">CHE &gt;10% of consumption, % (overshoot, pp)</w:t>
            </w:r>
          </w:p>
        </w:tc>
        <w:tc>
          <w:tcPr/>
          <w:p>
            <w:pPr>
              <w:pStyle w:val="Compact"/>
            </w:pPr>
            <w:r>
              <w:t xml:space="preserve">CHE &gt;25% of consumption, % (overshoot, pp)</w:t>
            </w:r>
          </w:p>
        </w:tc>
        <w:tc>
          <w:tcPr/>
          <w:p>
            <w:pPr>
              <w:pStyle w:val="Compact"/>
            </w:pPr>
            <w:r>
              <w:t xml:space="preserve">CHE &gt;40% of capacity-to-pay, % (overshoot, pp)</w:t>
            </w:r>
          </w:p>
        </w:tc>
      </w:tr>
      <w:tr>
        <w:tc>
          <w:tcPr/>
          <w:p>
            <w:pPr>
              <w:pStyle w:val="Compact"/>
            </w:pPr>
            <w:r>
              <w:t xml:space="preserve">All 60+</w:t>
            </w:r>
          </w:p>
        </w:tc>
        <w:tc>
          <w:tcPr/>
          <w:p>
            <w:pPr>
              <w:pStyle w:val="Compact"/>
            </w:pPr>
            <w:r>
              <w:t xml:space="preserve">31,766</w:t>
            </w:r>
          </w:p>
        </w:tc>
        <w:tc>
          <w:tcPr/>
          <w:p>
            <w:pPr>
              <w:pStyle w:val="Compact"/>
            </w:pPr>
            <w:r>
              <w:t xml:space="preserve">35.7 (5.6)</w:t>
            </w:r>
          </w:p>
        </w:tc>
        <w:tc>
          <w:tcPr/>
          <w:p>
            <w:pPr>
              <w:pStyle w:val="Compact"/>
            </w:pPr>
            <w:r>
              <w:t xml:space="preserve">13.7 (2.2)</w:t>
            </w:r>
          </w:p>
        </w:tc>
        <w:tc>
          <w:tcPr/>
          <w:p>
            <w:pPr>
              <w:pStyle w:val="Compact"/>
            </w:pPr>
            <w:r>
              <w:t xml:space="preserve">20.7 (4.3)</w:t>
            </w:r>
          </w:p>
        </w:tc>
      </w:tr>
      <w:tr>
        <w:tc>
          <w:tcPr/>
          <w:p>
            <w:pPr>
              <w:pStyle w:val="Compact"/>
            </w:pPr>
            <w:r>
              <w:t xml:space="preserve">70+</w:t>
            </w:r>
          </w:p>
        </w:tc>
        <w:tc>
          <w:tcPr/>
          <w:p>
            <w:pPr>
              <w:pStyle w:val="Compact"/>
            </w:pPr>
            <w:r>
              <w:t xml:space="preserve">12,550</w:t>
            </w:r>
          </w:p>
        </w:tc>
        <w:tc>
          <w:tcPr/>
          <w:p>
            <w:pPr>
              <w:pStyle w:val="Compact"/>
            </w:pPr>
            <w:r>
              <w:t xml:space="preserve">37.0 (5.7)</w:t>
            </w:r>
          </w:p>
        </w:tc>
        <w:tc>
          <w:tcPr/>
          <w:p>
            <w:pPr>
              <w:pStyle w:val="Compact"/>
            </w:pPr>
            <w:r>
              <w:t xml:space="preserve">14.0 (2.2)</w:t>
            </w:r>
          </w:p>
        </w:tc>
        <w:tc>
          <w:tcPr/>
          <w:p>
            <w:pPr>
              <w:pStyle w:val="Compact"/>
            </w:pPr>
            <w:r>
              <w:t xml:space="preserve">21.2 (4.5)</w:t>
            </w:r>
          </w:p>
        </w:tc>
      </w:tr>
      <w:tr>
        <w:tc>
          <w:tcPr/>
          <w:p>
            <w:pPr>
              <w:pStyle w:val="Compact"/>
            </w:pPr>
            <w:r>
              <w:t xml:space="preserve">Men 60+</w:t>
            </w:r>
          </w:p>
        </w:tc>
        <w:tc>
          <w:tcPr/>
          <w:p>
            <w:pPr>
              <w:pStyle w:val="Compact"/>
            </w:pPr>
            <w:r>
              <w:t xml:space="preserve">15,294</w:t>
            </w:r>
          </w:p>
        </w:tc>
        <w:tc>
          <w:tcPr/>
          <w:p>
            <w:pPr>
              <w:pStyle w:val="Compact"/>
            </w:pPr>
            <w:r>
              <w:t xml:space="preserve">36.2 (5.7)</w:t>
            </w:r>
          </w:p>
        </w:tc>
        <w:tc>
          <w:tcPr/>
          <w:p>
            <w:pPr>
              <w:pStyle w:val="Compact"/>
            </w:pPr>
            <w:r>
              <w:t xml:space="preserve">14.0 (2.3)</w:t>
            </w:r>
          </w:p>
        </w:tc>
        <w:tc>
          <w:tcPr/>
          <w:p>
            <w:pPr>
              <w:pStyle w:val="Compact"/>
            </w:pPr>
            <w:r>
              <w:t xml:space="preserve">21.0 (4.3)</w:t>
            </w:r>
          </w:p>
        </w:tc>
      </w:tr>
      <w:tr>
        <w:tc>
          <w:tcPr/>
          <w:p>
            <w:pPr>
              <w:pStyle w:val="Compact"/>
            </w:pPr>
            <w:r>
              <w:t xml:space="preserve">Women 60+</w:t>
            </w:r>
          </w:p>
        </w:tc>
        <w:tc>
          <w:tcPr/>
          <w:p>
            <w:pPr>
              <w:pStyle w:val="Compact"/>
            </w:pPr>
            <w:r>
              <w:t xml:space="preserve">16,472</w:t>
            </w:r>
          </w:p>
        </w:tc>
        <w:tc>
          <w:tcPr/>
          <w:p>
            <w:pPr>
              <w:pStyle w:val="Compact"/>
            </w:pPr>
            <w:r>
              <w:t xml:space="preserve">35.2 (5.4)</w:t>
            </w:r>
          </w:p>
        </w:tc>
        <w:tc>
          <w:tcPr/>
          <w:p>
            <w:pPr>
              <w:pStyle w:val="Compact"/>
            </w:pPr>
            <w:r>
              <w:t xml:space="preserve">13.3 (2.1)</w:t>
            </w:r>
          </w:p>
        </w:tc>
        <w:tc>
          <w:tcPr/>
          <w:p>
            <w:pPr>
              <w:pStyle w:val="Compact"/>
            </w:pPr>
            <w:r>
              <w:t xml:space="preserve">20.5 (4.2)</w:t>
            </w:r>
          </w:p>
        </w:tc>
      </w:tr>
      <w:tr>
        <w:tc>
          <w:tcPr/>
          <w:p>
            <w:pPr>
              <w:pStyle w:val="Compact"/>
            </w:pPr>
            <w:r>
              <w:t xml:space="preserve">Rural 60+</w:t>
            </w:r>
          </w:p>
        </w:tc>
        <w:tc>
          <w:tcPr/>
          <w:p>
            <w:pPr>
              <w:pStyle w:val="Compact"/>
            </w:pPr>
            <w:r>
              <w:t xml:space="preserve">20,961</w:t>
            </w:r>
          </w:p>
        </w:tc>
        <w:tc>
          <w:tcPr/>
          <w:p>
            <w:pPr>
              <w:pStyle w:val="Compact"/>
            </w:pPr>
            <w:r>
              <w:t xml:space="preserve">37.0 (5.9)</w:t>
            </w:r>
          </w:p>
        </w:tc>
        <w:tc>
          <w:tcPr/>
          <w:p>
            <w:pPr>
              <w:pStyle w:val="Compact"/>
            </w:pPr>
            <w:r>
              <w:t xml:space="preserve">14.4 (2.3)</w:t>
            </w:r>
          </w:p>
        </w:tc>
        <w:tc>
          <w:tcPr/>
          <w:p>
            <w:pPr>
              <w:pStyle w:val="Compact"/>
            </w:pPr>
            <w:r>
              <w:t xml:space="preserve">22.9 (4.8)</w:t>
            </w:r>
          </w:p>
        </w:tc>
      </w:tr>
      <w:tr>
        <w:tc>
          <w:tcPr/>
          <w:p>
            <w:pPr>
              <w:pStyle w:val="Compact"/>
            </w:pPr>
            <w:r>
              <w:t xml:space="preserve">Urban 60+</w:t>
            </w:r>
          </w:p>
        </w:tc>
        <w:tc>
          <w:tcPr/>
          <w:p>
            <w:pPr>
              <w:pStyle w:val="Compact"/>
            </w:pPr>
            <w:r>
              <w:t xml:space="preserve">10,805</w:t>
            </w:r>
          </w:p>
        </w:tc>
        <w:tc>
          <w:tcPr/>
          <w:p>
            <w:pPr>
              <w:pStyle w:val="Compact"/>
            </w:pPr>
            <w:r>
              <w:t xml:space="preserve">32.9 (4.9)</w:t>
            </w:r>
          </w:p>
        </w:tc>
        <w:tc>
          <w:tcPr/>
          <w:p>
            <w:pPr>
              <w:pStyle w:val="Compact"/>
            </w:pPr>
            <w:r>
              <w:t xml:space="preserve">12.0 (1.9)</w:t>
            </w:r>
          </w:p>
        </w:tc>
        <w:tc>
          <w:tcPr/>
          <w:p>
            <w:pPr>
              <w:pStyle w:val="Compact"/>
            </w:pPr>
            <w:r>
              <w:t xml:space="preserve">15.9 (3.0)</w:t>
            </w:r>
          </w:p>
        </w:tc>
      </w:tr>
      <w:tr>
        <w:tc>
          <w:tcPr/>
          <w:p>
            <w:pPr>
              <w:pStyle w:val="Compact"/>
            </w:pPr>
            <w:r>
              <w:t xml:space="preserve">Multimorbid 60+</w:t>
            </w:r>
          </w:p>
        </w:tc>
        <w:tc>
          <w:tcPr/>
          <w:p>
            <w:pPr>
              <w:pStyle w:val="Compact"/>
            </w:pPr>
            <w:r>
              <w:t xml:space="preserve">7,576</w:t>
            </w:r>
          </w:p>
        </w:tc>
        <w:tc>
          <w:tcPr/>
          <w:p>
            <w:pPr>
              <w:pStyle w:val="Compact"/>
            </w:pPr>
            <w:r>
              <w:t xml:space="preserve">46.5 (8.0)</w:t>
            </w:r>
          </w:p>
        </w:tc>
        <w:tc>
          <w:tcPr/>
          <w:p>
            <w:pPr>
              <w:pStyle w:val="Compact"/>
            </w:pPr>
            <w:r>
              <w:t xml:space="preserve">20.0 (3.3)</w:t>
            </w:r>
          </w:p>
        </w:tc>
        <w:tc>
          <w:tcPr/>
          <w:p>
            <w:pPr>
              <w:pStyle w:val="Compact"/>
            </w:pPr>
            <w:r>
              <w:t xml:space="preserve">26.7 (5.7)</w:t>
            </w:r>
          </w:p>
        </w:tc>
      </w:tr>
    </w:tbl>
    <w:p>
      <w:pPr>
        <w:pStyle w:val="BodyText"/>
      </w:pPr>
      <w:r>
        <w:rPr>
          <w:i/>
          <w:iCs/>
        </w:rPr>
        <w:t xml:space="preserve">Note.</w:t>
      </w:r>
      <w:r>
        <w:t xml:space="preserve"> </w:t>
      </w:r>
      <w:r>
        <w:t xml:space="preserve">CHE10 and CHE25 are the shares of households whose annualised out-of-pocket health spending exceeds 10% and 25% of total household consumption, respectively. CHE40cap (the WHO definition) is the share exceeding 40% of capacity to pay, defined as household consumption net of food spending. Overshoot is the mean amount by which spending exceeds the threshold, expressed in percentage points. n is the unweighted group size; percentages are survey-weighted.</w:t>
      </w:r>
    </w:p>
    <w:bookmarkEnd w:id="10"/>
    <w:bookmarkStart w:id="11" w:name="Xc2ad9667a845cb0a5ed5da61f372a2a9e42879c"/>
    <w:p>
      <w:pPr>
        <w:pStyle w:val="Heading2"/>
      </w:pPr>
      <w:r>
        <w:t xml:space="preserve">Table 3. Impoverishment from out-of-pocket health spending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Group</w:t>
            </w:r>
          </w:p>
        </w:tc>
        <w:tc>
          <w:tcPr/>
          <w:p>
            <w:pPr>
              <w:pStyle w:val="Compact"/>
            </w:pPr>
            <w:r>
              <w:t xml:space="preserve">n</w:t>
            </w:r>
          </w:p>
        </w:tc>
        <w:tc>
          <w:tcPr/>
          <w:p>
            <w:pPr>
              <w:pStyle w:val="Compact"/>
            </w:pPr>
            <w:r>
              <w:t xml:space="preserve">Poverty line (Rs/year, per capita)</w:t>
            </w:r>
          </w:p>
        </w:tc>
        <w:tc>
          <w:tcPr/>
          <w:p>
            <w:pPr>
              <w:pStyle w:val="Compact"/>
            </w:pPr>
            <w:r>
              <w:t xml:space="preserve">Pre-payment poverty, %</w:t>
            </w:r>
          </w:p>
        </w:tc>
        <w:tc>
          <w:tcPr/>
          <w:p>
            <w:pPr>
              <w:pStyle w:val="Compact"/>
            </w:pPr>
            <w:r>
              <w:t xml:space="preserve">Post-payment poverty, %</w:t>
            </w:r>
          </w:p>
        </w:tc>
        <w:tc>
          <w:tcPr/>
          <w:p>
            <w:pPr>
              <w:pStyle w:val="Compact"/>
            </w:pPr>
            <w:r>
              <w:t xml:space="preserve">Impoverishment headcount, pp</w:t>
            </w:r>
          </w:p>
        </w:tc>
        <w:tc>
          <w:tcPr/>
          <w:p>
            <w:pPr>
              <w:pStyle w:val="Compact"/>
            </w:pPr>
            <w:r>
              <w:t xml:space="preserve">Poverty gap increase, pp</w:t>
            </w:r>
          </w:p>
        </w:tc>
      </w:tr>
      <w:tr>
        <w:tc>
          <w:tcPr/>
          <w:p>
            <w:pPr>
              <w:pStyle w:val="Compact"/>
            </w:pPr>
            <w:r>
              <w:t xml:space="preserve">All 60+</w:t>
            </w:r>
          </w:p>
        </w:tc>
        <w:tc>
          <w:tcPr/>
          <w:p>
            <w:pPr>
              <w:pStyle w:val="Compact"/>
            </w:pPr>
            <w:r>
              <w:t xml:space="preserve">31,766</w:t>
            </w:r>
          </w:p>
        </w:tc>
        <w:tc>
          <w:tcPr/>
          <w:p>
            <w:pPr>
              <w:pStyle w:val="Compact"/>
            </w:pPr>
            <w:r>
              <w:t xml:space="preserve">18,307</w:t>
            </w:r>
          </w:p>
        </w:tc>
        <w:tc>
          <w:tcPr/>
          <w:p>
            <w:pPr>
              <w:pStyle w:val="Compact"/>
            </w:pPr>
            <w:r>
              <w:t xml:space="preserve">19.6</w:t>
            </w:r>
          </w:p>
        </w:tc>
        <w:tc>
          <w:tcPr/>
          <w:p>
            <w:pPr>
              <w:pStyle w:val="Compact"/>
            </w:pPr>
            <w:r>
              <w:t xml:space="preserve">25.4</w:t>
            </w:r>
          </w:p>
        </w:tc>
        <w:tc>
          <w:tcPr/>
          <w:p>
            <w:pPr>
              <w:pStyle w:val="Compact"/>
            </w:pPr>
            <w:r>
              <w:t xml:space="preserve">5.8</w:t>
            </w:r>
          </w:p>
        </w:tc>
        <w:tc>
          <w:tcPr/>
          <w:p>
            <w:pPr>
              <w:pStyle w:val="Compact"/>
            </w:pPr>
            <w:r>
              <w:t xml:space="preserve">1.8</w:t>
            </w:r>
          </w:p>
        </w:tc>
      </w:tr>
      <w:tr>
        <w:tc>
          <w:tcPr/>
          <w:p>
            <w:pPr>
              <w:pStyle w:val="Compact"/>
            </w:pPr>
            <w:r>
              <w:t xml:space="preserve">Men 60+</w:t>
            </w:r>
          </w:p>
        </w:tc>
        <w:tc>
          <w:tcPr/>
          <w:p>
            <w:pPr>
              <w:pStyle w:val="Compact"/>
            </w:pPr>
            <w:r>
              <w:t xml:space="preserve">15,294</w:t>
            </w:r>
          </w:p>
        </w:tc>
        <w:tc>
          <w:tcPr/>
          <w:p>
            <w:pPr>
              <w:pStyle w:val="Compact"/>
            </w:pPr>
            <w:r>
              <w:t xml:space="preserve">18,307</w:t>
            </w:r>
          </w:p>
        </w:tc>
        <w:tc>
          <w:tcPr/>
          <w:p>
            <w:pPr>
              <w:pStyle w:val="Compact"/>
            </w:pPr>
            <w:r>
              <w:t xml:space="preserve">19.3</w:t>
            </w:r>
          </w:p>
        </w:tc>
        <w:tc>
          <w:tcPr/>
          <w:p>
            <w:pPr>
              <w:pStyle w:val="Compact"/>
            </w:pPr>
            <w:r>
              <w:t xml:space="preserve">25.1</w:t>
            </w:r>
          </w:p>
        </w:tc>
        <w:tc>
          <w:tcPr/>
          <w:p>
            <w:pPr>
              <w:pStyle w:val="Compact"/>
            </w:pPr>
            <w:r>
              <w:t xml:space="preserve">5.8</w:t>
            </w:r>
          </w:p>
        </w:tc>
        <w:tc>
          <w:tcPr/>
          <w:p>
            <w:pPr>
              <w:pStyle w:val="Compact"/>
            </w:pPr>
            <w:r>
              <w:t xml:space="preserve">1.8</w:t>
            </w:r>
          </w:p>
        </w:tc>
      </w:tr>
      <w:tr>
        <w:tc>
          <w:tcPr/>
          <w:p>
            <w:pPr>
              <w:pStyle w:val="Compact"/>
            </w:pPr>
            <w:r>
              <w:t xml:space="preserve">Women 60+</w:t>
            </w:r>
          </w:p>
        </w:tc>
        <w:tc>
          <w:tcPr/>
          <w:p>
            <w:pPr>
              <w:pStyle w:val="Compact"/>
            </w:pPr>
            <w:r>
              <w:t xml:space="preserve">16,472</w:t>
            </w:r>
          </w:p>
        </w:tc>
        <w:tc>
          <w:tcPr/>
          <w:p>
            <w:pPr>
              <w:pStyle w:val="Compact"/>
            </w:pPr>
            <w:r>
              <w:t xml:space="preserve">18,307</w:t>
            </w:r>
          </w:p>
        </w:tc>
        <w:tc>
          <w:tcPr/>
          <w:p>
            <w:pPr>
              <w:pStyle w:val="Compact"/>
            </w:pPr>
            <w:r>
              <w:t xml:space="preserve">19.9</w:t>
            </w:r>
          </w:p>
        </w:tc>
        <w:tc>
          <w:tcPr/>
          <w:p>
            <w:pPr>
              <w:pStyle w:val="Compact"/>
            </w:pPr>
            <w:r>
              <w:t xml:space="preserve">25.7</w:t>
            </w:r>
          </w:p>
        </w:tc>
        <w:tc>
          <w:tcPr/>
          <w:p>
            <w:pPr>
              <w:pStyle w:val="Compact"/>
            </w:pPr>
            <w:r>
              <w:t xml:space="preserve">5.7</w:t>
            </w:r>
          </w:p>
        </w:tc>
        <w:tc>
          <w:tcPr/>
          <w:p>
            <w:pPr>
              <w:pStyle w:val="Compact"/>
            </w:pPr>
            <w:r>
              <w:t xml:space="preserve">1.9</w:t>
            </w:r>
          </w:p>
        </w:tc>
      </w:tr>
      <w:tr>
        <w:tc>
          <w:tcPr/>
          <w:p>
            <w:pPr>
              <w:pStyle w:val="Compact"/>
            </w:pPr>
            <w:r>
              <w:t xml:space="preserve">Rural 60+</w:t>
            </w:r>
          </w:p>
        </w:tc>
        <w:tc>
          <w:tcPr/>
          <w:p>
            <w:pPr>
              <w:pStyle w:val="Compact"/>
            </w:pPr>
            <w:r>
              <w:t xml:space="preserve">20,961</w:t>
            </w:r>
          </w:p>
        </w:tc>
        <w:tc>
          <w:tcPr/>
          <w:p>
            <w:pPr>
              <w:pStyle w:val="Compact"/>
            </w:pPr>
            <w:r>
              <w:t xml:space="preserve">18,307</w:t>
            </w:r>
          </w:p>
        </w:tc>
        <w:tc>
          <w:tcPr/>
          <w:p>
            <w:pPr>
              <w:pStyle w:val="Compact"/>
            </w:pPr>
            <w:r>
              <w:t xml:space="preserve">23.7</w:t>
            </w:r>
          </w:p>
        </w:tc>
        <w:tc>
          <w:tcPr/>
          <w:p>
            <w:pPr>
              <w:pStyle w:val="Compact"/>
            </w:pPr>
            <w:r>
              <w:t xml:space="preserve">30.5</w:t>
            </w:r>
          </w:p>
        </w:tc>
        <w:tc>
          <w:tcPr/>
          <w:p>
            <w:pPr>
              <w:pStyle w:val="Compact"/>
            </w:pPr>
            <w:r>
              <w:t xml:space="preserve">6.8</w:t>
            </w:r>
          </w:p>
        </w:tc>
        <w:tc>
          <w:tcPr/>
          <w:p>
            <w:pPr>
              <w:pStyle w:val="Compact"/>
            </w:pPr>
            <w:r>
              <w:t xml:space="preserve">2.3</w:t>
            </w:r>
          </w:p>
        </w:tc>
      </w:tr>
      <w:tr>
        <w:tc>
          <w:tcPr/>
          <w:p>
            <w:pPr>
              <w:pStyle w:val="Compact"/>
            </w:pPr>
            <w:r>
              <w:t xml:space="preserve">Urban 60+</w:t>
            </w:r>
          </w:p>
        </w:tc>
        <w:tc>
          <w:tcPr/>
          <w:p>
            <w:pPr>
              <w:pStyle w:val="Compact"/>
            </w:pPr>
            <w:r>
              <w:t xml:space="preserve">10,805</w:t>
            </w:r>
          </w:p>
        </w:tc>
        <w:tc>
          <w:tcPr/>
          <w:p>
            <w:pPr>
              <w:pStyle w:val="Compact"/>
            </w:pPr>
            <w:r>
              <w:t xml:space="preserve">18,307</w:t>
            </w:r>
          </w:p>
        </w:tc>
        <w:tc>
          <w:tcPr/>
          <w:p>
            <w:pPr>
              <w:pStyle w:val="Compact"/>
            </w:pPr>
            <w:r>
              <w:t xml:space="preserve">10.3</w:t>
            </w:r>
          </w:p>
        </w:tc>
        <w:tc>
          <w:tcPr/>
          <w:p>
            <w:pPr>
              <w:pStyle w:val="Compact"/>
            </w:pPr>
            <w:r>
              <w:t xml:space="preserve">13.7</w:t>
            </w:r>
          </w:p>
        </w:tc>
        <w:tc>
          <w:tcPr/>
          <w:p>
            <w:pPr>
              <w:pStyle w:val="Compact"/>
            </w:pPr>
            <w:r>
              <w:t xml:space="preserve">3.4</w:t>
            </w:r>
          </w:p>
        </w:tc>
        <w:tc>
          <w:tcPr/>
          <w:p>
            <w:pPr>
              <w:pStyle w:val="Compact"/>
            </w:pPr>
            <w:r>
              <w:t xml:space="preserve">0.8</w:t>
            </w:r>
          </w:p>
        </w:tc>
      </w:tr>
    </w:tbl>
    <w:p>
      <w:pPr>
        <w:pStyle w:val="BodyText"/>
      </w:pPr>
      <w:r>
        <w:rPr>
          <w:i/>
          <w:iCs/>
        </w:rPr>
        <w:t xml:space="preserve">Note.</w:t>
      </w:r>
      <w:r>
        <w:t xml:space="preserve"> </w:t>
      </w:r>
      <w:r>
        <w:t xml:space="preserve">Pre-payment poverty is the share of older adults below the poverty line using per-capita consumption; post-payment poverty repeats this after subtracting per-capita out-of-pocket health spending. The impoverishment headcount is the percentage-point difference (post minus pre) — the share of older adults pushed below the line by medical spending alone. The poverty gap increase is the corresponding rise in the normalised mean shortfall below the line. n is the unweighted group size; percentages are survey-weighted.</w:t>
      </w:r>
    </w:p>
    <w:bookmarkEnd w:id="11"/>
    <w:bookmarkStart w:id="12" w:name="Xc41d1969215aa09aa1a204f0b3365eaf499688f"/>
    <w:p>
      <w:pPr>
        <w:pStyle w:val="Heading2"/>
      </w:pPr>
      <w:r>
        <w:t xml:space="preserve">Table 4. Concentration-index decomposition of catastrophic health expenditure (CHE40cap)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Regressor</w:t>
            </w:r>
          </w:p>
        </w:tc>
        <w:tc>
          <w:tcPr/>
          <w:p>
            <w:pPr>
              <w:pStyle w:val="Compact"/>
            </w:pPr>
            <w:r>
              <w:t xml:space="preserve">Elasticity</w:t>
            </w:r>
          </w:p>
        </w:tc>
        <w:tc>
          <w:tcPr/>
          <w:p>
            <w:pPr>
              <w:pStyle w:val="Compact"/>
            </w:pPr>
            <w:r>
              <w:t xml:space="preserve">Concentration index of regressor</w:t>
            </w:r>
          </w:p>
        </w:tc>
        <w:tc>
          <w:tcPr/>
          <w:p>
            <w:pPr>
              <w:pStyle w:val="Compact"/>
            </w:pPr>
            <w:r>
              <w:t xml:space="preserve">Contribution to overall CI</w:t>
            </w:r>
          </w:p>
        </w:tc>
        <w:tc>
          <w:tcPr/>
          <w:p>
            <w:pPr>
              <w:pStyle w:val="Compact"/>
            </w:pPr>
            <w:r>
              <w:t xml:space="preserve">% of overall CI</w:t>
            </w:r>
          </w:p>
        </w:tc>
      </w:tr>
      <w:tr>
        <w:tc>
          <w:tcPr/>
          <w:p>
            <w:pPr>
              <w:pStyle w:val="Compact"/>
            </w:pPr>
            <w:r>
              <w:t xml:space="preserve">Age (years)</w:t>
            </w:r>
          </w:p>
        </w:tc>
        <w:tc>
          <w:tcPr/>
          <w:p>
            <w:pPr>
              <w:pStyle w:val="Compact"/>
            </w:pPr>
            <w:r>
              <w:t xml:space="preserve">0.056</w:t>
            </w:r>
          </w:p>
        </w:tc>
        <w:tc>
          <w:tcPr/>
          <w:p>
            <w:pPr>
              <w:pStyle w:val="Compact"/>
            </w:pPr>
            <w:r>
              <w:t xml:space="preserve">-0.0004</w:t>
            </w:r>
          </w:p>
        </w:tc>
        <w:tc>
          <w:tcPr/>
          <w:p>
            <w:pPr>
              <w:pStyle w:val="Compact"/>
            </w:pPr>
            <w:r>
              <w:t xml:space="preserve">-0.00002</w:t>
            </w:r>
          </w:p>
        </w:tc>
        <w:tc>
          <w:tcPr/>
          <w:p>
            <w:pPr>
              <w:pStyle w:val="Compact"/>
            </w:pPr>
            <w:r>
              <w:t xml:space="preserve">-0.03</w:t>
            </w:r>
          </w:p>
        </w:tc>
      </w:tr>
      <w:tr>
        <w:tc>
          <w:tcPr/>
          <w:p>
            <w:pPr>
              <w:pStyle w:val="Compact"/>
            </w:pPr>
            <w:r>
              <w:t xml:space="preserve">Female</w:t>
            </w:r>
          </w:p>
        </w:tc>
        <w:tc>
          <w:tcPr/>
          <w:p>
            <w:pPr>
              <w:pStyle w:val="Compact"/>
            </w:pPr>
            <w:r>
              <w:t xml:space="preserve">-0.041</w:t>
            </w:r>
          </w:p>
        </w:tc>
        <w:tc>
          <w:tcPr/>
          <w:p>
            <w:pPr>
              <w:pStyle w:val="Compact"/>
            </w:pPr>
            <w:r>
              <w:t xml:space="preserve">-0.0109</w:t>
            </w:r>
          </w:p>
        </w:tc>
        <w:tc>
          <w:tcPr/>
          <w:p>
            <w:pPr>
              <w:pStyle w:val="Compact"/>
            </w:pPr>
            <w:r>
              <w:t xml:space="preserve">0.0004</w:t>
            </w:r>
          </w:p>
        </w:tc>
        <w:tc>
          <w:tcPr/>
          <w:p>
            <w:pPr>
              <w:pStyle w:val="Compact"/>
            </w:pPr>
            <w:r>
              <w:t xml:space="preserve">0.50</w:t>
            </w:r>
          </w:p>
        </w:tc>
      </w:tr>
      <w:tr>
        <w:tc>
          <w:tcPr/>
          <w:p>
            <w:pPr>
              <w:pStyle w:val="Compact"/>
            </w:pPr>
            <w:r>
              <w:t xml:space="preserve">Rural residence</w:t>
            </w:r>
          </w:p>
        </w:tc>
        <w:tc>
          <w:tcPr/>
          <w:p>
            <w:pPr>
              <w:pStyle w:val="Compact"/>
            </w:pPr>
            <w:r>
              <w:t xml:space="preserve">0.256</w:t>
            </w:r>
          </w:p>
        </w:tc>
        <w:tc>
          <w:tcPr/>
          <w:p>
            <w:pPr>
              <w:pStyle w:val="Compact"/>
            </w:pPr>
            <w:r>
              <w:t xml:space="preserve">-0.0885</w:t>
            </w:r>
          </w:p>
        </w:tc>
        <w:tc>
          <w:tcPr/>
          <w:p>
            <w:pPr>
              <w:pStyle w:val="Compact"/>
            </w:pPr>
            <w:r>
              <w:t xml:space="preserve">-0.0227</w:t>
            </w:r>
          </w:p>
        </w:tc>
        <w:tc>
          <w:tcPr/>
          <w:p>
            <w:pPr>
              <w:pStyle w:val="Compact"/>
            </w:pPr>
            <w:r>
              <w:t xml:space="preserve">-25.10</w:t>
            </w:r>
          </w:p>
        </w:tc>
      </w:tr>
      <w:tr>
        <w:tc>
          <w:tcPr/>
          <w:p>
            <w:pPr>
              <w:pStyle w:val="Compact"/>
            </w:pPr>
            <w:r>
              <w:t xml:space="preserve">Multimorbidity (2+)</w:t>
            </w:r>
          </w:p>
        </w:tc>
        <w:tc>
          <w:tcPr/>
          <w:p>
            <w:pPr>
              <w:pStyle w:val="Compact"/>
            </w:pPr>
            <w:r>
              <w:t xml:space="preserve">0.097</w:t>
            </w:r>
          </w:p>
        </w:tc>
        <w:tc>
          <w:tcPr/>
          <w:p>
            <w:pPr>
              <w:pStyle w:val="Compact"/>
            </w:pPr>
            <w:r>
              <w:t xml:space="preserve">0.1868</w:t>
            </w:r>
          </w:p>
        </w:tc>
        <w:tc>
          <w:tcPr/>
          <w:p>
            <w:pPr>
              <w:pStyle w:val="Compact"/>
            </w:pPr>
            <w:r>
              <w:t xml:space="preserve">0.0181</w:t>
            </w:r>
          </w:p>
        </w:tc>
        <w:tc>
          <w:tcPr/>
          <w:p>
            <w:pPr>
              <w:pStyle w:val="Compact"/>
            </w:pPr>
            <w:r>
              <w:t xml:space="preserve">20.11</w:t>
            </w:r>
          </w:p>
        </w:tc>
      </w:tr>
      <w:tr>
        <w:tc>
          <w:tcPr/>
          <w:p>
            <w:pPr>
              <w:pStyle w:val="Compact"/>
            </w:pPr>
            <w:r>
              <w:t xml:space="preserve">Functional limitation</w:t>
            </w:r>
          </w:p>
        </w:tc>
        <w:tc>
          <w:tcPr/>
          <w:p>
            <w:pPr>
              <w:pStyle w:val="Compact"/>
            </w:pPr>
            <w:r>
              <w:t xml:space="preserve">0.186</w:t>
            </w:r>
          </w:p>
        </w:tc>
        <w:tc>
          <w:tcPr/>
          <w:p>
            <w:pPr>
              <w:pStyle w:val="Compact"/>
            </w:pPr>
            <w:r>
              <w:t xml:space="preserve">-0.0137</w:t>
            </w:r>
          </w:p>
        </w:tc>
        <w:tc>
          <w:tcPr/>
          <w:p>
            <w:pPr>
              <w:pStyle w:val="Compact"/>
            </w:pPr>
            <w:r>
              <w:t xml:space="preserve">-0.0025</w:t>
            </w:r>
          </w:p>
        </w:tc>
        <w:tc>
          <w:tcPr/>
          <w:p>
            <w:pPr>
              <w:pStyle w:val="Compact"/>
            </w:pPr>
            <w:r>
              <w:t xml:space="preserve">-2.81</w:t>
            </w:r>
          </w:p>
        </w:tc>
      </w:tr>
      <w:tr>
        <w:tc>
          <w:tcPr/>
          <w:p>
            <w:pPr>
              <w:pStyle w:val="Compact"/>
            </w:pPr>
            <w:r>
              <w:t xml:space="preserve">Any pension</w:t>
            </w:r>
          </w:p>
        </w:tc>
        <w:tc>
          <w:tcPr/>
          <w:p>
            <w:pPr>
              <w:pStyle w:val="Compact"/>
            </w:pPr>
            <w:r>
              <w:t xml:space="preserve">-0.004</w:t>
            </w:r>
          </w:p>
        </w:tc>
        <w:tc>
          <w:tcPr/>
          <w:p>
            <w:pPr>
              <w:pStyle w:val="Compact"/>
            </w:pPr>
            <w:r>
              <w:t xml:space="preserve">0.2908</w:t>
            </w:r>
          </w:p>
        </w:tc>
        <w:tc>
          <w:tcPr/>
          <w:p>
            <w:pPr>
              <w:pStyle w:val="Compact"/>
            </w:pPr>
            <w:r>
              <w:t xml:space="preserve">-0.0010</w:t>
            </w:r>
          </w:p>
        </w:tc>
        <w:tc>
          <w:tcPr/>
          <w:p>
            <w:pPr>
              <w:pStyle w:val="Compact"/>
            </w:pPr>
            <w:r>
              <w:t xml:space="preserve">-1.14</w:t>
            </w:r>
          </w:p>
        </w:tc>
      </w:tr>
      <w:tr>
        <w:tc>
          <w:tcPr/>
          <w:p>
            <w:pPr>
              <w:pStyle w:val="Compact"/>
            </w:pPr>
            <w:r>
              <w:t xml:space="preserve">Education</w:t>
            </w:r>
          </w:p>
        </w:tc>
        <w:tc>
          <w:tcPr/>
          <w:p>
            <w:pPr>
              <w:pStyle w:val="Compact"/>
            </w:pPr>
            <w:r>
              <w:t xml:space="preserve">-0.010</w:t>
            </w:r>
          </w:p>
        </w:tc>
        <w:tc>
          <w:tcPr/>
          <w:p>
            <w:pPr>
              <w:pStyle w:val="Compact"/>
            </w:pPr>
            <w:r>
              <w:t xml:space="preserve">0.2764</w:t>
            </w:r>
          </w:p>
        </w:tc>
        <w:tc>
          <w:tcPr/>
          <w:p>
            <w:pPr>
              <w:pStyle w:val="Compact"/>
            </w:pPr>
            <w:r>
              <w:t xml:space="preserve">-0.0029</w:t>
            </w:r>
          </w:p>
        </w:tc>
        <w:tc>
          <w:tcPr/>
          <w:p>
            <w:pPr>
              <w:pStyle w:val="Compact"/>
            </w:pPr>
            <w:r>
              <w:t xml:space="preserve">-3.21</w:t>
            </w:r>
          </w:p>
        </w:tc>
      </w:tr>
    </w:tbl>
    <w:p>
      <w:pPr>
        <w:pStyle w:val="BodyText"/>
      </w:pPr>
      <w:r>
        <w:rPr>
          <w:b/>
          <w:bCs/>
        </w:rPr>
        <w:t xml:space="preserve">Overall concentration index (CHE40cap): +0.090. Erreygers (corrected) index: +0.075.</w:t>
      </w:r>
    </w:p>
    <w:p>
      <w:pPr>
        <w:pStyle w:val="BodyText"/>
      </w:pPr>
      <w:r>
        <w:rPr>
          <w:i/>
          <w:iCs/>
        </w:rPr>
        <w:t xml:space="preserve">Note.</w:t>
      </w:r>
      <w:r>
        <w:t xml:space="preserve"> </w:t>
      </w:r>
      <w:r>
        <w:t xml:space="preserve">The concentration index ranks households by per-capita consumption; a positive value indicates catastrophic spending is more concentrated among better-off households. The Erreygers index corrects the concentration index for the bounded (0/1) nature of the CHE outcome. Elasticity is the response of CHE40cap to a 1% change in the regressor; the concentration index of the regressor describes how that regressor itself is distributed across the consumption ranking; the contribution is elasticity multiplied by the regressor’s concentration index, and the percentage of the overall CI is each contribution divided by the total concentration index. Negative contributions pull the index in the pro-poor direction; positive contributions pull it in the pro-rich direction.</w:t>
      </w:r>
    </w:p>
    <w:bookmarkEnd w:id="12"/>
    <w:bookmarkStart w:id="16" w:name="X0df11bfda747d0e82d3ec991bb465ae23532aa6"/>
    <w:p>
      <w:pPr>
        <w:pStyle w:val="Heading2"/>
      </w:pPr>
      <w:r>
        <w:t xml:space="preserve">Table 5. Drivers of out-of-pocket spending: two-part model and SHAP importance</w:t>
      </w:r>
    </w:p>
    <w:bookmarkStart w:id="13" w:name="X4c31c3312193bafd485c6c0f377405dbf431c49"/>
    <w:p>
      <w:pPr>
        <w:pStyle w:val="Heading3"/>
      </w:pPr>
      <w:r>
        <w:t xml:space="preserve">5a. Two-part model — part 1, probability of any out-of-pocket spending (logistic regression)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w:t>
            </w:r>
          </w:p>
        </w:tc>
        <w:tc>
          <w:tcPr/>
          <w:p>
            <w:pPr>
              <w:pStyle w:val="Compact"/>
            </w:pPr>
            <w:r>
              <w:t xml:space="preserve">Odds ratio</w:t>
            </w:r>
          </w:p>
        </w:tc>
        <w:tc>
          <w:tcPr/>
          <w:p>
            <w:pPr>
              <w:pStyle w:val="Compact"/>
            </w:pPr>
            <w:r>
              <w:t xml:space="preserve">95% CI</w:t>
            </w:r>
          </w:p>
        </w:tc>
        <w:tc>
          <w:tcPr/>
          <w:p>
            <w:pPr>
              <w:pStyle w:val="Compact"/>
            </w:pPr>
            <w:r>
              <w:t xml:space="preserve">P value</w:t>
            </w:r>
          </w:p>
        </w:tc>
      </w:tr>
      <w:tr>
        <w:tc>
          <w:tcPr/>
          <w:p>
            <w:pPr>
              <w:pStyle w:val="Compact"/>
            </w:pPr>
            <w:r>
              <w:t xml:space="preserve">Age (per year)</w:t>
            </w:r>
          </w:p>
        </w:tc>
        <w:tc>
          <w:tcPr/>
          <w:p>
            <w:pPr>
              <w:pStyle w:val="Compact"/>
            </w:pPr>
            <w:r>
              <w:t xml:space="preserve">1.00</w:t>
            </w:r>
          </w:p>
        </w:tc>
        <w:tc>
          <w:tcPr/>
          <w:p>
            <w:pPr>
              <w:pStyle w:val="Compact"/>
            </w:pPr>
            <w:r>
              <w:t xml:space="preserve">0.99-1.00</w:t>
            </w:r>
          </w:p>
        </w:tc>
        <w:tc>
          <w:tcPr/>
          <w:p>
            <w:pPr>
              <w:pStyle w:val="Compact"/>
            </w:pPr>
            <w:r>
              <w:t xml:space="preserve">0.540</w:t>
            </w:r>
          </w:p>
        </w:tc>
      </w:tr>
      <w:tr>
        <w:tc>
          <w:tcPr/>
          <w:p>
            <w:pPr>
              <w:pStyle w:val="Compact"/>
            </w:pPr>
            <w:r>
              <w:t xml:space="preserve">Female</w:t>
            </w:r>
          </w:p>
        </w:tc>
        <w:tc>
          <w:tcPr/>
          <w:p>
            <w:pPr>
              <w:pStyle w:val="Compact"/>
            </w:pPr>
            <w:r>
              <w:t xml:space="preserve">0.90</w:t>
            </w:r>
          </w:p>
        </w:tc>
        <w:tc>
          <w:tcPr/>
          <w:p>
            <w:pPr>
              <w:pStyle w:val="Compact"/>
            </w:pPr>
            <w:r>
              <w:t xml:space="preserve">0.85-0.95</w:t>
            </w:r>
          </w:p>
        </w:tc>
        <w:tc>
          <w:tcPr/>
          <w:p>
            <w:pPr>
              <w:pStyle w:val="Compact"/>
            </w:pPr>
            <w:r>
              <w:t xml:space="preserve">&lt;0.001</w:t>
            </w:r>
          </w:p>
        </w:tc>
      </w:tr>
      <w:tr>
        <w:tc>
          <w:tcPr/>
          <w:p>
            <w:pPr>
              <w:pStyle w:val="Compact"/>
            </w:pPr>
            <w:r>
              <w:t xml:space="preserve">Rural residence</w:t>
            </w:r>
          </w:p>
        </w:tc>
        <w:tc>
          <w:tcPr/>
          <w:p>
            <w:pPr>
              <w:pStyle w:val="Compact"/>
            </w:pPr>
            <w:r>
              <w:t xml:space="preserve">1.32</w:t>
            </w:r>
          </w:p>
        </w:tc>
        <w:tc>
          <w:tcPr/>
          <w:p>
            <w:pPr>
              <w:pStyle w:val="Compact"/>
            </w:pPr>
            <w:r>
              <w:t xml:space="preserve">1.24-1.41</w:t>
            </w:r>
          </w:p>
        </w:tc>
        <w:tc>
          <w:tcPr/>
          <w:p>
            <w:pPr>
              <w:pStyle w:val="Compact"/>
            </w:pPr>
            <w:r>
              <w:t xml:space="preserve">&lt;0.001</w:t>
            </w:r>
          </w:p>
        </w:tc>
      </w:tr>
      <w:tr>
        <w:tc>
          <w:tcPr/>
          <w:p>
            <w:pPr>
              <w:pStyle w:val="Compact"/>
            </w:pPr>
            <w:r>
              <w:t xml:space="preserve">Multimorbidity (2+)</w:t>
            </w:r>
          </w:p>
        </w:tc>
        <w:tc>
          <w:tcPr/>
          <w:p>
            <w:pPr>
              <w:pStyle w:val="Compact"/>
            </w:pPr>
            <w:r>
              <w:t xml:space="preserve">1.72</w:t>
            </w:r>
          </w:p>
        </w:tc>
        <w:tc>
          <w:tcPr/>
          <w:p>
            <w:pPr>
              <w:pStyle w:val="Compact"/>
            </w:pPr>
            <w:r>
              <w:t xml:space="preserve">1.59-1.85</w:t>
            </w:r>
          </w:p>
        </w:tc>
        <w:tc>
          <w:tcPr/>
          <w:p>
            <w:pPr>
              <w:pStyle w:val="Compact"/>
            </w:pPr>
            <w:r>
              <w:t xml:space="preserve">&lt;0.001</w:t>
            </w:r>
          </w:p>
        </w:tc>
      </w:tr>
      <w:tr>
        <w:tc>
          <w:tcPr/>
          <w:p>
            <w:pPr>
              <w:pStyle w:val="Compact"/>
            </w:pPr>
            <w:r>
              <w:t xml:space="preserve">Functional limitation</w:t>
            </w:r>
          </w:p>
        </w:tc>
        <w:tc>
          <w:tcPr/>
          <w:p>
            <w:pPr>
              <w:pStyle w:val="Compact"/>
            </w:pPr>
            <w:r>
              <w:t xml:space="preserve">1.59</w:t>
            </w:r>
          </w:p>
        </w:tc>
        <w:tc>
          <w:tcPr/>
          <w:p>
            <w:pPr>
              <w:pStyle w:val="Compact"/>
            </w:pPr>
            <w:r>
              <w:t xml:space="preserve">1.49-1.69</w:t>
            </w:r>
          </w:p>
        </w:tc>
        <w:tc>
          <w:tcPr/>
          <w:p>
            <w:pPr>
              <w:pStyle w:val="Compact"/>
            </w:pPr>
            <w:r>
              <w:t xml:space="preserve">&lt;0.001</w:t>
            </w:r>
          </w:p>
        </w:tc>
      </w:tr>
      <w:tr>
        <w:tc>
          <w:tcPr/>
          <w:p>
            <w:pPr>
              <w:pStyle w:val="Compact"/>
            </w:pPr>
            <w:r>
              <w:t xml:space="preserve">Any pension</w:t>
            </w:r>
          </w:p>
        </w:tc>
        <w:tc>
          <w:tcPr/>
          <w:p>
            <w:pPr>
              <w:pStyle w:val="Compact"/>
            </w:pPr>
            <w:r>
              <w:t xml:space="preserve">1.02</w:t>
            </w:r>
          </w:p>
        </w:tc>
        <w:tc>
          <w:tcPr/>
          <w:p>
            <w:pPr>
              <w:pStyle w:val="Compact"/>
            </w:pPr>
            <w:r>
              <w:t xml:space="preserve">0.94-1.11</w:t>
            </w:r>
          </w:p>
        </w:tc>
        <w:tc>
          <w:tcPr/>
          <w:p>
            <w:pPr>
              <w:pStyle w:val="Compact"/>
            </w:pPr>
            <w:r>
              <w:t xml:space="preserve">0.657</w:t>
            </w:r>
          </w:p>
        </w:tc>
      </w:tr>
      <w:tr>
        <w:tc>
          <w:tcPr/>
          <w:p>
            <w:pPr>
              <w:pStyle w:val="Compact"/>
            </w:pPr>
            <w:r>
              <w:t xml:space="preserve">Education (per year)</w:t>
            </w:r>
          </w:p>
        </w:tc>
        <w:tc>
          <w:tcPr/>
          <w:p>
            <w:pPr>
              <w:pStyle w:val="Compact"/>
            </w:pPr>
            <w:r>
              <w:t xml:space="preserve">1.04</w:t>
            </w:r>
          </w:p>
        </w:tc>
        <w:tc>
          <w:tcPr/>
          <w:p>
            <w:pPr>
              <w:pStyle w:val="Compact"/>
            </w:pPr>
            <w:r>
              <w:t xml:space="preserve">1.02-1.06</w:t>
            </w:r>
          </w:p>
        </w:tc>
        <w:tc>
          <w:tcPr/>
          <w:p>
            <w:pPr>
              <w:pStyle w:val="Compact"/>
            </w:pPr>
            <w:r>
              <w:t xml:space="preserve">&lt;0.001</w:t>
            </w:r>
          </w:p>
        </w:tc>
      </w:tr>
    </w:tbl>
    <w:bookmarkEnd w:id="13"/>
    <w:bookmarkStart w:id="14" w:name="X1586d464069dea656132d14b60bf775b83afdab"/>
    <w:p>
      <w:pPr>
        <w:pStyle w:val="Heading3"/>
      </w:pPr>
      <w:r>
        <w:t xml:space="preserve">5b. Two-part model — part 2, amount spent among spenders (gamma regression, log link)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w:t>
            </w:r>
          </w:p>
        </w:tc>
        <w:tc>
          <w:tcPr/>
          <w:p>
            <w:pPr>
              <w:pStyle w:val="Compact"/>
            </w:pPr>
            <w:r>
              <w:t xml:space="preserve">Exponentiated coefficient</w:t>
            </w:r>
          </w:p>
        </w:tc>
        <w:tc>
          <w:tcPr/>
          <w:p>
            <w:pPr>
              <w:pStyle w:val="Compact"/>
            </w:pPr>
            <w:r>
              <w:t xml:space="preserve">95% CI</w:t>
            </w:r>
          </w:p>
        </w:tc>
        <w:tc>
          <w:tcPr/>
          <w:p>
            <w:pPr>
              <w:pStyle w:val="Compact"/>
            </w:pPr>
            <w:r>
              <w:t xml:space="preserve">P value</w:t>
            </w:r>
          </w:p>
        </w:tc>
      </w:tr>
      <w:tr>
        <w:tc>
          <w:tcPr/>
          <w:p>
            <w:pPr>
              <w:pStyle w:val="Compact"/>
            </w:pPr>
            <w:r>
              <w:t xml:space="preserve">Age (per year)</w:t>
            </w:r>
          </w:p>
        </w:tc>
        <w:tc>
          <w:tcPr/>
          <w:p>
            <w:pPr>
              <w:pStyle w:val="Compact"/>
            </w:pPr>
            <w:r>
              <w:t xml:space="preserve">1.00</w:t>
            </w:r>
          </w:p>
        </w:tc>
        <w:tc>
          <w:tcPr/>
          <w:p>
            <w:pPr>
              <w:pStyle w:val="Compact"/>
            </w:pPr>
            <w:r>
              <w:t xml:space="preserve">1.00-1.01</w:t>
            </w:r>
          </w:p>
        </w:tc>
        <w:tc>
          <w:tcPr/>
          <w:p>
            <w:pPr>
              <w:pStyle w:val="Compact"/>
            </w:pPr>
            <w:r>
              <w:t xml:space="preserve">0.105</w:t>
            </w:r>
          </w:p>
        </w:tc>
      </w:tr>
      <w:tr>
        <w:tc>
          <w:tcPr/>
          <w:p>
            <w:pPr>
              <w:pStyle w:val="Compact"/>
            </w:pPr>
            <w:r>
              <w:t xml:space="preserve">Female</w:t>
            </w:r>
          </w:p>
        </w:tc>
        <w:tc>
          <w:tcPr/>
          <w:p>
            <w:pPr>
              <w:pStyle w:val="Compact"/>
            </w:pPr>
            <w:r>
              <w:t xml:space="preserve">1.00</w:t>
            </w:r>
          </w:p>
        </w:tc>
        <w:tc>
          <w:tcPr/>
          <w:p>
            <w:pPr>
              <w:pStyle w:val="Compact"/>
            </w:pPr>
            <w:r>
              <w:t xml:space="preserve">0.95-1.05</w:t>
            </w:r>
          </w:p>
        </w:tc>
        <w:tc>
          <w:tcPr/>
          <w:p>
            <w:pPr>
              <w:pStyle w:val="Compact"/>
            </w:pPr>
            <w:r>
              <w:t xml:space="preserve">0.949</w:t>
            </w:r>
          </w:p>
        </w:tc>
      </w:tr>
      <w:tr>
        <w:tc>
          <w:tcPr/>
          <w:p>
            <w:pPr>
              <w:pStyle w:val="Compact"/>
            </w:pPr>
            <w:r>
              <w:t xml:space="preserve">Rural residence</w:t>
            </w:r>
          </w:p>
        </w:tc>
        <w:tc>
          <w:tcPr/>
          <w:p>
            <w:pPr>
              <w:pStyle w:val="Compact"/>
            </w:pPr>
            <w:r>
              <w:t xml:space="preserve">1.01</w:t>
            </w:r>
          </w:p>
        </w:tc>
        <w:tc>
          <w:tcPr/>
          <w:p>
            <w:pPr>
              <w:pStyle w:val="Compact"/>
            </w:pPr>
            <w:r>
              <w:t xml:space="preserve">0.95-1.07</w:t>
            </w:r>
          </w:p>
        </w:tc>
        <w:tc>
          <w:tcPr/>
          <w:p>
            <w:pPr>
              <w:pStyle w:val="Compact"/>
            </w:pPr>
            <w:r>
              <w:t xml:space="preserve">0.833</w:t>
            </w:r>
          </w:p>
        </w:tc>
      </w:tr>
      <w:tr>
        <w:tc>
          <w:tcPr/>
          <w:p>
            <w:pPr>
              <w:pStyle w:val="Compact"/>
            </w:pPr>
            <w:r>
              <w:t xml:space="preserve">Multimorbidity (2+)</w:t>
            </w:r>
          </w:p>
        </w:tc>
        <w:tc>
          <w:tcPr/>
          <w:p>
            <w:pPr>
              <w:pStyle w:val="Compact"/>
            </w:pPr>
            <w:r>
              <w:t xml:space="preserve">1.46</w:t>
            </w:r>
          </w:p>
        </w:tc>
        <w:tc>
          <w:tcPr/>
          <w:p>
            <w:pPr>
              <w:pStyle w:val="Compact"/>
            </w:pPr>
            <w:r>
              <w:t xml:space="preserve">1.38-1.55</w:t>
            </w:r>
          </w:p>
        </w:tc>
        <w:tc>
          <w:tcPr/>
          <w:p>
            <w:pPr>
              <w:pStyle w:val="Compact"/>
            </w:pPr>
            <w:r>
              <w:t xml:space="preserve">&lt;0.001</w:t>
            </w:r>
          </w:p>
        </w:tc>
      </w:tr>
      <w:tr>
        <w:tc>
          <w:tcPr/>
          <w:p>
            <w:pPr>
              <w:pStyle w:val="Compact"/>
            </w:pPr>
            <w:r>
              <w:t xml:space="preserve">Functional limitation</w:t>
            </w:r>
          </w:p>
        </w:tc>
        <w:tc>
          <w:tcPr/>
          <w:p>
            <w:pPr>
              <w:pStyle w:val="Compact"/>
            </w:pPr>
            <w:r>
              <w:t xml:space="preserve">1.06</w:t>
            </w:r>
          </w:p>
        </w:tc>
        <w:tc>
          <w:tcPr/>
          <w:p>
            <w:pPr>
              <w:pStyle w:val="Compact"/>
            </w:pPr>
            <w:r>
              <w:t xml:space="preserve">0.99-1.12</w:t>
            </w:r>
          </w:p>
        </w:tc>
        <w:tc>
          <w:tcPr/>
          <w:p>
            <w:pPr>
              <w:pStyle w:val="Compact"/>
            </w:pPr>
            <w:r>
              <w:t xml:space="preserve">0.080</w:t>
            </w:r>
          </w:p>
        </w:tc>
      </w:tr>
      <w:tr>
        <w:tc>
          <w:tcPr/>
          <w:p>
            <w:pPr>
              <w:pStyle w:val="Compact"/>
            </w:pPr>
            <w:r>
              <w:t xml:space="preserve">Any pension</w:t>
            </w:r>
          </w:p>
        </w:tc>
        <w:tc>
          <w:tcPr/>
          <w:p>
            <w:pPr>
              <w:pStyle w:val="Compact"/>
            </w:pPr>
            <w:r>
              <w:t xml:space="preserve">1.19</w:t>
            </w:r>
          </w:p>
        </w:tc>
        <w:tc>
          <w:tcPr/>
          <w:p>
            <w:pPr>
              <w:pStyle w:val="Compact"/>
            </w:pPr>
            <w:r>
              <w:t xml:space="preserve">1.10-1.28</w:t>
            </w:r>
          </w:p>
        </w:tc>
        <w:tc>
          <w:tcPr/>
          <w:p>
            <w:pPr>
              <w:pStyle w:val="Compact"/>
            </w:pPr>
            <w:r>
              <w:t xml:space="preserve">&lt;0.001</w:t>
            </w:r>
          </w:p>
        </w:tc>
      </w:tr>
      <w:tr>
        <w:tc>
          <w:tcPr/>
          <w:p>
            <w:pPr>
              <w:pStyle w:val="Compact"/>
            </w:pPr>
            <w:r>
              <w:t xml:space="preserve">Education (per year)</w:t>
            </w:r>
          </w:p>
        </w:tc>
        <w:tc>
          <w:tcPr/>
          <w:p>
            <w:pPr>
              <w:pStyle w:val="Compact"/>
            </w:pPr>
            <w:r>
              <w:t xml:space="preserve">1.07</w:t>
            </w:r>
          </w:p>
        </w:tc>
        <w:tc>
          <w:tcPr/>
          <w:p>
            <w:pPr>
              <w:pStyle w:val="Compact"/>
            </w:pPr>
            <w:r>
              <w:t xml:space="preserve">1.05-1.08</w:t>
            </w:r>
          </w:p>
        </w:tc>
        <w:tc>
          <w:tcPr/>
          <w:p>
            <w:pPr>
              <w:pStyle w:val="Compact"/>
            </w:pPr>
            <w:r>
              <w:t xml:space="preserve">&lt;0.001</w:t>
            </w:r>
          </w:p>
        </w:tc>
      </w:tr>
    </w:tbl>
    <w:bookmarkEnd w:id="14"/>
    <w:bookmarkStart w:id="15" w:name="X3f6dc6132eeadb3f9ce2fd113528a9a84186725"/>
    <w:p>
      <w:pPr>
        <w:pStyle w:val="Heading3"/>
      </w:pPr>
      <w:r>
        <w:t xml:space="preserve">5c. Gradient-boosting model — mean absolute SHAP importance for catastrophic spending (CHE40cap)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Predictor</w:t>
            </w:r>
          </w:p>
        </w:tc>
        <w:tc>
          <w:tcPr/>
          <w:p>
            <w:pPr>
              <w:pStyle w:val="Compact"/>
            </w:pPr>
            <w:r>
              <w:t xml:space="preserve">Mean |SHAP value|</w:t>
            </w:r>
          </w:p>
        </w:tc>
      </w:tr>
      <w:tr>
        <w:tc>
          <w:tcPr/>
          <w:p>
            <w:pPr>
              <w:pStyle w:val="Compact"/>
            </w:pPr>
            <w:r>
              <w:t xml:space="preserve">Rural residence</w:t>
            </w:r>
          </w:p>
        </w:tc>
        <w:tc>
          <w:tcPr/>
          <w:p>
            <w:pPr>
              <w:pStyle w:val="Compact"/>
            </w:pPr>
            <w:r>
              <w:t xml:space="preserve">0.215</w:t>
            </w:r>
          </w:p>
        </w:tc>
      </w:tr>
      <w:tr>
        <w:tc>
          <w:tcPr/>
          <w:p>
            <w:pPr>
              <w:pStyle w:val="Compact"/>
            </w:pPr>
            <w:r>
              <w:t xml:space="preserve">Multimorbidity (2+)</w:t>
            </w:r>
          </w:p>
        </w:tc>
        <w:tc>
          <w:tcPr/>
          <w:p>
            <w:pPr>
              <w:pStyle w:val="Compact"/>
            </w:pPr>
            <w:r>
              <w:t xml:space="preserve">0.150</w:t>
            </w:r>
          </w:p>
        </w:tc>
      </w:tr>
      <w:tr>
        <w:tc>
          <w:tcPr/>
          <w:p>
            <w:pPr>
              <w:pStyle w:val="Compact"/>
            </w:pPr>
            <w:r>
              <w:t xml:space="preserve">Functional limitation</w:t>
            </w:r>
          </w:p>
        </w:tc>
        <w:tc>
          <w:tcPr/>
          <w:p>
            <w:pPr>
              <w:pStyle w:val="Compact"/>
            </w:pPr>
            <w:r>
              <w:t xml:space="preserve">0.128</w:t>
            </w:r>
          </w:p>
        </w:tc>
      </w:tr>
      <w:tr>
        <w:tc>
          <w:tcPr/>
          <w:p>
            <w:pPr>
              <w:pStyle w:val="Compact"/>
            </w:pPr>
            <w:r>
              <w:t xml:space="preserve">Age</w:t>
            </w:r>
          </w:p>
        </w:tc>
        <w:tc>
          <w:tcPr/>
          <w:p>
            <w:pPr>
              <w:pStyle w:val="Compact"/>
            </w:pPr>
            <w:r>
              <w:t xml:space="preserve">0.057</w:t>
            </w:r>
          </w:p>
        </w:tc>
      </w:tr>
      <w:tr>
        <w:tc>
          <w:tcPr/>
          <w:p>
            <w:pPr>
              <w:pStyle w:val="Compact"/>
            </w:pPr>
            <w:r>
              <w:t xml:space="preserve">Education</w:t>
            </w:r>
          </w:p>
        </w:tc>
        <w:tc>
          <w:tcPr/>
          <w:p>
            <w:pPr>
              <w:pStyle w:val="Compact"/>
            </w:pPr>
            <w:r>
              <w:t xml:space="preserve">0.040</w:t>
            </w:r>
          </w:p>
        </w:tc>
      </w:tr>
      <w:tr>
        <w:tc>
          <w:tcPr/>
          <w:p>
            <w:pPr>
              <w:pStyle w:val="Compact"/>
            </w:pPr>
            <w:r>
              <w:t xml:space="preserve">Female</w:t>
            </w:r>
          </w:p>
        </w:tc>
        <w:tc>
          <w:tcPr/>
          <w:p>
            <w:pPr>
              <w:pStyle w:val="Compact"/>
            </w:pPr>
            <w:r>
              <w:t xml:space="preserve">0.034</w:t>
            </w:r>
          </w:p>
        </w:tc>
      </w:tr>
      <w:tr>
        <w:tc>
          <w:tcPr/>
          <w:p>
            <w:pPr>
              <w:pStyle w:val="Compact"/>
            </w:pPr>
            <w:r>
              <w:t xml:space="preserve">Any pension</w:t>
            </w:r>
          </w:p>
        </w:tc>
        <w:tc>
          <w:tcPr/>
          <w:p>
            <w:pPr>
              <w:pStyle w:val="Compact"/>
            </w:pPr>
            <w:r>
              <w:t xml:space="preserve">0.018</w:t>
            </w:r>
          </w:p>
        </w:tc>
      </w:tr>
    </w:tbl>
    <w:p>
      <w:pPr>
        <w:pStyle w:val="BodyText"/>
      </w:pPr>
      <w:r>
        <w:rPr>
          <w:i/>
          <w:iCs/>
        </w:rPr>
        <w:t xml:space="preserve">Note.</w:t>
      </w:r>
      <w:r>
        <w:t xml:space="preserve"> </w:t>
      </w:r>
      <w:r>
        <w:t xml:space="preserve">Part 1 odds ratios describe the likelihood of reporting any out-of-pocket spending; Part 2 ratios describe the multiplicative effect on the amount spent, conditional on spending something (gamma regression with a log link, the standard treatment for skewed cost data). SHAP (SHapley Additive exPlanations) importance ranks each predictor’s average contribution to the gradient-boosting model’s prediction of catastrophic spending; this is a predictive ranking, not a causal estimate.</w:t>
      </w:r>
    </w:p>
    <w:bookmarkEnd w:id="15"/>
    <w:bookmarkEnd w:id="16"/>
    <w:bookmarkStart w:id="17" w:name="Xfa44040e23dccd4da31c16b99f6e48fca3e770c"/>
    <w:p>
      <w:pPr>
        <w:pStyle w:val="Heading2"/>
      </w:pPr>
      <w:r>
        <w:t xml:space="preserve">Table 6. Microsimulation of financing-reform scenarios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Coverage</w:t>
            </w:r>
          </w:p>
        </w:tc>
        <w:tc>
          <w:tcPr/>
          <w:p>
            <w:pPr>
              <w:pStyle w:val="Compact"/>
            </w:pPr>
            <w:r>
              <w:t xml:space="preserve">CHE10, % (Δ pp)</w:t>
            </w:r>
          </w:p>
        </w:tc>
        <w:tc>
          <w:tcPr/>
          <w:p>
            <w:pPr>
              <w:pStyle w:val="Compact"/>
            </w:pPr>
            <w:r>
              <w:t xml:space="preserve">CHE25, % (Δ pp)</w:t>
            </w:r>
          </w:p>
        </w:tc>
        <w:tc>
          <w:tcPr/>
          <w:p>
            <w:pPr>
              <w:pStyle w:val="Compact"/>
            </w:pPr>
            <w:r>
              <w:t xml:space="preserve">CHE40cap, % (Δ pp)</w:t>
            </w:r>
          </w:p>
        </w:tc>
        <w:tc>
          <w:tcPr/>
          <w:p>
            <w:pPr>
              <w:pStyle w:val="Compact"/>
            </w:pPr>
            <w:r>
              <w:t xml:space="preserve">Post-payment poverty, % (Δ pp)</w:t>
            </w:r>
          </w:p>
        </w:tc>
        <w:tc>
          <w:tcPr/>
          <w:p>
            <w:pPr>
              <w:pStyle w:val="Compact"/>
            </w:pPr>
            <w:r>
              <w:t xml:space="preserve">Fiscal cost, Rs crore</w:t>
            </w:r>
          </w:p>
        </w:tc>
      </w:tr>
      <w:tr>
        <w:tc>
          <w:tcPr/>
          <w:p>
            <w:pPr>
              <w:pStyle w:val="Compact"/>
            </w:pPr>
            <w:r>
              <w:t xml:space="preserve">S1: PM-JAY 70+ full inpatient cover</w:t>
            </w:r>
          </w:p>
        </w:tc>
        <w:tc>
          <w:tcPr/>
          <w:p>
            <w:pPr>
              <w:pStyle w:val="Compact"/>
            </w:pPr>
            <w:r>
              <w:t xml:space="preserve">Full inpatient, age 70+</w:t>
            </w:r>
          </w:p>
        </w:tc>
        <w:tc>
          <w:tcPr/>
          <w:p>
            <w:pPr>
              <w:pStyle w:val="Compact"/>
            </w:pPr>
            <w:r>
              <w:t xml:space="preserve">33.2 (-2.5)</w:t>
            </w:r>
          </w:p>
        </w:tc>
        <w:tc>
          <w:tcPr/>
          <w:p>
            <w:pPr>
              <w:pStyle w:val="Compact"/>
            </w:pPr>
            <w:r>
              <w:t xml:space="preserve">12.1 (-1.6)</w:t>
            </w:r>
          </w:p>
        </w:tc>
        <w:tc>
          <w:tcPr/>
          <w:p>
            <w:pPr>
              <w:pStyle w:val="Compact"/>
            </w:pPr>
            <w:r>
              <w:t xml:space="preserve">18.8 (-2.0)</w:t>
            </w:r>
          </w:p>
        </w:tc>
        <w:tc>
          <w:tcPr/>
          <w:p>
            <w:pPr>
              <w:pStyle w:val="Compact"/>
            </w:pPr>
            <w:r>
              <w:t xml:space="preserve">24.8 (-0.5)</w:t>
            </w:r>
          </w:p>
        </w:tc>
        <w:tc>
          <w:tcPr/>
          <w:p>
            <w:pPr>
              <w:pStyle w:val="Compact"/>
            </w:pPr>
            <w:r>
              <w:t xml:space="preserve">31,654</w:t>
            </w:r>
          </w:p>
        </w:tc>
      </w:tr>
      <w:tr>
        <w:tc>
          <w:tcPr/>
          <w:p>
            <w:pPr>
              <w:pStyle w:val="Compact"/>
            </w:pPr>
            <w:r>
              <w:t xml:space="preserve">S2: Outpatient and medicines cover, all 60+</w:t>
            </w:r>
          </w:p>
        </w:tc>
        <w:tc>
          <w:tcPr/>
          <w:p>
            <w:pPr>
              <w:pStyle w:val="Compact"/>
            </w:pPr>
            <w:r>
              <w:t xml:space="preserve">Full outpatient/medicine, age 60+</w:t>
            </w:r>
          </w:p>
        </w:tc>
        <w:tc>
          <w:tcPr/>
          <w:p>
            <w:pPr>
              <w:pStyle w:val="Compact"/>
            </w:pPr>
            <w:r>
              <w:t xml:space="preserve">6.8 (-29.0)</w:t>
            </w:r>
          </w:p>
        </w:tc>
        <w:tc>
          <w:tcPr/>
          <w:p>
            <w:pPr>
              <w:pStyle w:val="Compact"/>
            </w:pPr>
            <w:r>
              <w:t xml:space="preserve">2.5 (-11.2)</w:t>
            </w:r>
          </w:p>
        </w:tc>
        <w:tc>
          <w:tcPr/>
          <w:p>
            <w:pPr>
              <w:pStyle w:val="Compact"/>
            </w:pPr>
            <w:r>
              <w:t xml:space="preserve">2.9 (-17.8)</w:t>
            </w:r>
          </w:p>
        </w:tc>
        <w:tc>
          <w:tcPr/>
          <w:p>
            <w:pPr>
              <w:pStyle w:val="Compact"/>
            </w:pPr>
            <w:r>
              <w:t xml:space="preserve">20.3 (-5.0)</w:t>
            </w:r>
          </w:p>
        </w:tc>
        <w:tc>
          <w:tcPr/>
          <w:p>
            <w:pPr>
              <w:pStyle w:val="Compact"/>
            </w:pPr>
            <w:r>
              <w:t xml:space="preserve">264,825</w:t>
            </w:r>
          </w:p>
        </w:tc>
      </w:tr>
      <w:tr>
        <w:tc>
          <w:tcPr/>
          <w:p>
            <w:pPr>
              <w:pStyle w:val="Compact"/>
            </w:pPr>
            <w:r>
              <w:t xml:space="preserve">S3: Pension top-up (+Rs 500/month), all 60+</w:t>
            </w:r>
          </w:p>
        </w:tc>
        <w:tc>
          <w:tcPr/>
          <w:p>
            <w:pPr>
              <w:pStyle w:val="Compact"/>
            </w:pPr>
            <w:r>
              <w:t xml:space="preserve">Income support, age 60+</w:t>
            </w:r>
          </w:p>
        </w:tc>
        <w:tc>
          <w:tcPr/>
          <w:p>
            <w:pPr>
              <w:pStyle w:val="Compact"/>
            </w:pPr>
            <w:r>
              <w:t xml:space="preserve">34.2 (-1.5)</w:t>
            </w:r>
          </w:p>
        </w:tc>
        <w:tc>
          <w:tcPr/>
          <w:p>
            <w:pPr>
              <w:pStyle w:val="Compact"/>
            </w:pPr>
            <w:r>
              <w:t xml:space="preserve">12.6 (-1.1)</w:t>
            </w:r>
          </w:p>
        </w:tc>
        <w:tc>
          <w:tcPr/>
          <w:p>
            <w:pPr>
              <w:pStyle w:val="Compact"/>
            </w:pPr>
            <w:r>
              <w:t xml:space="preserve">16.6 (-4.2)</w:t>
            </w:r>
          </w:p>
        </w:tc>
        <w:tc>
          <w:tcPr/>
          <w:p>
            <w:pPr>
              <w:pStyle w:val="Compact"/>
            </w:pPr>
            <w:r>
              <w:t xml:space="preserve">9.1 (-16.3)</w:t>
            </w:r>
          </w:p>
        </w:tc>
        <w:tc>
          <w:tcPr/>
          <w:p>
            <w:pPr>
              <w:pStyle w:val="Compact"/>
            </w:pPr>
            <w:r>
              <w:t xml:space="preserve">89,400</w:t>
            </w:r>
          </w:p>
        </w:tc>
      </w:tr>
      <w:tr>
        <w:tc>
          <w:tcPr/>
          <w:p>
            <w:pPr>
              <w:pStyle w:val="Compact"/>
            </w:pPr>
            <w:r>
              <w:t xml:space="preserve">S4: Combined S1+S2+S3</w:t>
            </w:r>
          </w:p>
        </w:tc>
        <w:tc>
          <w:tcPr/>
          <w:p>
            <w:pPr>
              <w:pStyle w:val="Compact"/>
            </w:pPr>
            <w:r>
              <w:t xml:space="preserve">Full inpatient + outpatient + pension top-up</w:t>
            </w:r>
          </w:p>
        </w:tc>
        <w:tc>
          <w:tcPr/>
          <w:p>
            <w:pPr>
              <w:pStyle w:val="Compact"/>
            </w:pPr>
            <w:r>
              <w:t xml:space="preserve">0.0 (-35.7)</w:t>
            </w:r>
          </w:p>
        </w:tc>
        <w:tc>
          <w:tcPr/>
          <w:p>
            <w:pPr>
              <w:pStyle w:val="Compact"/>
            </w:pPr>
            <w:r>
              <w:t xml:space="preserve">0.0 (-13.7)</w:t>
            </w:r>
          </w:p>
        </w:tc>
        <w:tc>
          <w:tcPr/>
          <w:p>
            <w:pPr>
              <w:pStyle w:val="Compact"/>
            </w:pPr>
            <w:r>
              <w:t xml:space="preserve">0.0 (-20.7)</w:t>
            </w:r>
          </w:p>
        </w:tc>
        <w:tc>
          <w:tcPr/>
          <w:p>
            <w:pPr>
              <w:pStyle w:val="Compact"/>
            </w:pPr>
            <w:r>
              <w:t xml:space="preserve">6.5 (-18.9)</w:t>
            </w:r>
          </w:p>
        </w:tc>
        <w:tc>
          <w:tcPr/>
          <w:p>
            <w:pPr>
              <w:pStyle w:val="Compact"/>
            </w:pPr>
            <w:r>
              <w:t xml:space="preserve">435,527</w:t>
            </w:r>
          </w:p>
        </w:tc>
      </w:tr>
    </w:tbl>
    <w:p>
      <w:pPr>
        <w:pStyle w:val="BodyText"/>
      </w:pPr>
      <w:r>
        <w:rPr>
          <w:i/>
          <w:iCs/>
        </w:rPr>
        <w:t xml:space="preserve">Note.</w:t>
      </w:r>
      <w:r>
        <w:t xml:space="preserve"> </w:t>
      </w:r>
      <w:r>
        <w:t xml:space="preserve">All scenarios are applied to the same adults-aged-60-and-over sample, so every Δ pp is measured against the common 60+ baseline (CHE10 35.7%, CHE25 13.7%, CHE40cap 20.7%, post-payment poverty 25.4%); negative values denote a reduction. S1 only covers those aged 70 and over within that sample, which is why its reduction is modest at the population level. All scenarios assume full coverage of the modelled cost (complete uptake and full reimbursement) and should be read as upper-bound ceilings rather than realistic programme costings, particularly the combined scenario S4. Fiscal costs are in Rs crore (1 crore = 10 million rupees), scaled using the national older-population count and benchmark unit costs; they are not a substitute for a costed budget line.</w:t>
      </w:r>
    </w:p>
    <w:bookmarkEnd w:id="17"/>
    <w:bookmarkStart w:id="18" w:name="X86dd146eae586aa8bcd5c0e5c5aa3e907086b72"/>
    <w:p>
      <w:pPr>
        <w:pStyle w:val="Heading2"/>
      </w:pPr>
      <w:r>
        <w:t xml:space="preserve">Table 7. The economic value of unpaid family caregiving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Value</w:t>
            </w:r>
          </w:p>
        </w:tc>
      </w:tr>
      <w:tr>
        <w:tc>
          <w:tcPr/>
          <w:p>
            <w:pPr>
              <w:pStyle w:val="Compact"/>
            </w:pPr>
            <w:r>
              <w:t xml:space="preserve">Older adults receiving regular informal care</w:t>
            </w:r>
          </w:p>
        </w:tc>
        <w:tc>
          <w:tcPr/>
          <w:p>
            <w:pPr>
              <w:pStyle w:val="Compact"/>
            </w:pPr>
            <w:r>
              <w:t xml:space="preserve">12.2%</w:t>
            </w:r>
          </w:p>
        </w:tc>
      </w:tr>
      <w:tr>
        <w:tc>
          <w:tcPr/>
          <w:p>
            <w:pPr>
              <w:pStyle w:val="Compact"/>
            </w:pPr>
            <w:r>
              <w:t xml:space="preserve">Mean hours of care received per week</w:t>
            </w:r>
          </w:p>
        </w:tc>
        <w:tc>
          <w:tcPr/>
          <w:p>
            <w:pPr>
              <w:pStyle w:val="Compact"/>
            </w:pPr>
            <w:r>
              <w:t xml:space="preserve">13.9</w:t>
            </w:r>
          </w:p>
        </w:tc>
      </w:tr>
      <w:tr>
        <w:tc>
          <w:tcPr/>
          <w:p>
            <w:pPr>
              <w:pStyle w:val="Compact"/>
            </w:pPr>
            <w:r>
              <w:t xml:space="preserve">Annual replacement-cost value per recipient</w:t>
            </w:r>
          </w:p>
        </w:tc>
        <w:tc>
          <w:tcPr/>
          <w:p>
            <w:pPr>
              <w:pStyle w:val="Compact"/>
            </w:pPr>
            <w:r>
              <w:t xml:space="preserve">Rs 71,000</w:t>
            </w:r>
          </w:p>
        </w:tc>
      </w:tr>
      <w:tr>
        <w:tc>
          <w:tcPr/>
          <w:p>
            <w:pPr>
              <w:pStyle w:val="Compact"/>
            </w:pPr>
            <w:r>
              <w:t xml:space="preserve">National annual replacement-cost value</w:t>
            </w:r>
          </w:p>
        </w:tc>
        <w:tc>
          <w:tcPr/>
          <w:p>
            <w:pPr>
              <w:pStyle w:val="Compact"/>
            </w:pPr>
            <w:r>
              <w:t xml:space="preserve">Rs 1,29,117 crore (~Rs 1.3 lakh crore)</w:t>
            </w:r>
          </w:p>
        </w:tc>
      </w:tr>
    </w:tbl>
    <w:p>
      <w:pPr>
        <w:pStyle w:val="BodyText"/>
      </w:pPr>
      <w:r>
        <w:rPr>
          <w:i/>
          <w:iCs/>
        </w:rPr>
        <w:t xml:space="preserve">Note.</w:t>
      </w:r>
      <w:r>
        <w:t xml:space="preserve"> </w:t>
      </w:r>
      <w:r>
        <w:t xml:space="preserve">Care hours are self-reported help with daily activities from spouses, children and other relatives. Values shown use the replacement-cost method: care hours costed at a representative care-worker wage. The opportunity-cost variant was run with the same wage rate in this analysis and so reproduces identical figures; it is not an independent estimate of forgone earnings. The national total represents an annual flow, not a one-off transfer, and does not appear in any official health account.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2026-06-26T11:01:46Z</dcterms:created>
  <dcterms:modified xsi:type="dcterms:W3CDTF">2026-06-26T11:01:46Z</dcterms:modified>
</cp:coreProperties>
</file>

<file path=docProps/custom.xml><?xml version="1.0" encoding="utf-8"?>
<Properties xmlns="http://schemas.openxmlformats.org/officeDocument/2006/custom-properties" xmlns:vt="http://schemas.openxmlformats.org/officeDocument/2006/docPropsVTypes"/>
</file>