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Internal Peer Review 1 - Methods, PRISMA, and Evidence Grading</w:t>
      </w:r>
    </w:p>
    <w:p>
      <w:r>
        <w:rPr>
          <w:rFonts w:ascii="Times New Roman" w:hAnsi="Times New Roman"/>
        </w:rPr>
        <w:t>Recommendation: Major revision before final journal submission, but suitable as a transparent evidence-map manuscript package after clear limitation framing.</w:t>
      </w:r>
    </w:p>
    <w:p>
      <w:r>
        <w:rPr>
          <w:rFonts w:ascii="Times New Roman" w:hAnsi="Times New Roman"/>
        </w:rPr>
        <w:t>Strengths: The pipeline is reproducible, logs all phases, separates human/animal/cellular evidence, penalizes hype-heavy claims, and creates full-text triage artifacts for all candidates.</w:t>
      </w:r>
    </w:p>
    <w:p>
      <w:r>
        <w:rPr>
          <w:rFonts w:ascii="Times New Roman" w:hAnsi="Times New Roman"/>
        </w:rPr>
        <w:t>Search/screening: The current search produced 1155 raw records and 1029 deduplicated records. This is a strong pilot base, but the capped search must be rerun at larger limits before claiming PRISMA-complete coverage.</w:t>
      </w:r>
    </w:p>
    <w:p>
      <w:r>
        <w:rPr>
          <w:rFonts w:ascii="Times New Roman" w:hAnsi="Times New Roman"/>
        </w:rPr>
        <w:t>Full-text verification: 40 priority human records were attempted, including 19 open full-text verifications. Remaining records should be manually checked.</w:t>
      </w:r>
    </w:p>
    <w:p>
      <w:r>
        <w:rPr>
          <w:rFonts w:ascii="Times New Roman" w:hAnsi="Times New Roman"/>
        </w:rPr>
        <w:t>Evidence grading: Exercise is appropriately ranked highest. Other categories are kept below recommendation level, which is scientifically appropriate.</w:t>
      </w:r>
    </w:p>
    <w:p>
      <w:r>
        <w:rPr>
          <w:rFonts w:ascii="Times New Roman" w:hAnsi="Times New Roman"/>
        </w:rPr>
        <w:t>Risk of bias: The formal RoB file is useful as a structured prompt, but it must not be described as a final RoB 2 or ROBINS-I assessment. The manuscript now labels it preliminary, which is correct.</w:t>
      </w:r>
    </w:p>
    <w:p>
      <w:r>
        <w:rPr>
          <w:rFonts w:ascii="Times New Roman" w:hAnsi="Times New Roman"/>
        </w:rPr>
        <w:t>Meta-analysis: It is appropriate not to pool effect estimates. Candidate numeric snippets are not equivalent to verified effect sizes, and pooling them would be invalid.</w:t>
      </w:r>
    </w:p>
    <w:p>
      <w:r>
        <w:rPr>
          <w:rFonts w:ascii="Times New Roman" w:hAnsi="Times New Roman"/>
        </w:rPr>
        <w:t>Duplicate cohorts: The duplicate-cohort check identified title/PMID/trial-key flags. These should be manually adjudicated before any final evidence count is published.</w:t>
      </w:r>
    </w:p>
    <w:p>
      <w:r>
        <w:rPr>
          <w:rFonts w:ascii="Times New Roman" w:hAnsi="Times New Roman"/>
        </w:rPr>
        <w:t>Required revision before portal upload: manually verify at least all priority 1 and priority 2 records; adjudicate duplicates; finalize references; and ensure the journal accepts an evidence-map/systematic-review methods framing.</w:t>
      </w:r>
    </w:p>
    <w:p>
      <w:r>
        <w:rPr>
          <w:rFonts w:ascii="Times New Roman" w:hAnsi="Times New Roman"/>
        </w:rPr>
        <w:t>Verdict: Scientifically cautious and structurally credible as a high-quality draft package; not yet a definitive systematic review with meta-analysis.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