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</w:rPr>
        <w:t>INDIAN JOURNAL OF MEDICAL RESEARCH</w:t>
        <w:br/>
        <w:t>FIRST PAGE FILE</w:t>
      </w:r>
    </w:p>
    <w:p>
      <w:pPr>
        <w:jc w:val="both"/>
      </w:pPr>
      <w:r>
        <w:rPr>
          <w:rFonts w:ascii="Times New Roman" w:hAnsi="Times New Roman"/>
        </w:rPr>
        <w:t>Covering letter note:</w:t>
        <w:br/>
        <w:t>This manuscript addresses healthy ageing surveillance, exposome-related public health, and epidemiological interpretation using nationally relevant LASI data. Its public-health and methodological relevance makes IJMR an appropriate venue.</w:t>
      </w:r>
    </w:p>
    <w:p>
      <w:pPr>
        <w:jc w:val="both"/>
      </w:pPr>
      <w:r>
        <w:rPr>
          <w:rFonts w:ascii="Times New Roman" w:hAnsi="Times New Roman"/>
        </w:rPr>
        <w:t>Title:</w:t>
        <w:br/>
        <w:t>Development and ecological validation of a digital exposome ageing index for healthy ageing surveillance in India using LASI Wave 1</w:t>
      </w:r>
    </w:p>
    <w:p>
      <w:pPr>
        <w:jc w:val="both"/>
      </w:pPr>
      <w:r>
        <w:rPr>
          <w:rFonts w:ascii="Times New Roman" w:hAnsi="Times New Roman"/>
        </w:rPr>
        <w:t>Running title (maximum 40 characters requested by journal):</w:t>
        <w:br/>
        <w:t>DEAI ecological validation</w:t>
      </w:r>
    </w:p>
    <w:p>
      <w:pPr>
        <w:jc w:val="both"/>
      </w:pPr>
      <w:r>
        <w:rPr>
          <w:rFonts w:ascii="Times New Roman" w:hAnsi="Times New Roman"/>
        </w:rPr>
        <w:t>Article category:</w:t>
        <w:br/>
        <w:t>Original Article</w:t>
      </w:r>
    </w:p>
    <w:p>
      <w:pPr>
        <w:jc w:val="both"/>
      </w:pPr>
      <w:r>
        <w:rPr>
          <w:rFonts w:ascii="Times New Roman" w:hAnsi="Times New Roman"/>
        </w:rPr>
        <w:t>Author:</w:t>
        <w:br/>
        <w:t>Dr Siddalingaiah H S</w:t>
        <w:br/>
        <w:t>Professor, Community Medicine</w:t>
        <w:br/>
        <w:t>Shridevi Institute of Medical Sciences and Research Hospital, Tumkur, Karnataka, India</w:t>
        <w:br/>
        <w:t>Mobile: +91 8941087719</w:t>
        <w:br/>
        <w:t>Email: hssling@yahoo.com</w:t>
        <w:br/>
        <w:t>ORCID: 0000-0002-4771-8285</w:t>
      </w:r>
    </w:p>
    <w:p>
      <w:pPr>
        <w:jc w:val="both"/>
      </w:pPr>
      <w:r>
        <w:rPr>
          <w:rFonts w:ascii="Times New Roman" w:hAnsi="Times New Roman"/>
        </w:rPr>
        <w:t>Department and institution to which the work is attributed:</w:t>
        <w:br/>
        <w:t>Department of Community Medicine, Shridevi Institute of Medical Sciences and Research Hospital, Tumkur, Karnataka, India</w:t>
      </w:r>
    </w:p>
    <w:p>
      <w:pPr>
        <w:jc w:val="both"/>
      </w:pPr>
      <w:r>
        <w:rPr>
          <w:rFonts w:ascii="Times New Roman" w:hAnsi="Times New Roman"/>
        </w:rPr>
        <w:t>Name, address and email of corresponding author:</w:t>
        <w:br/>
        <w:t>Dr Siddalingaiah H S</w:t>
        <w:br/>
        <w:t>Shridevi Institute of Medical Sciences and Research Hospital, Tumkur, Karnataka, India</w:t>
        <w:br/>
        <w:t>Email: hssling@yahoo.com</w:t>
        <w:br/>
        <w:t>Mobile: +91 8941087719</w:t>
      </w:r>
    </w:p>
    <w:p>
      <w:pPr>
        <w:jc w:val="both"/>
      </w:pPr>
      <w:r>
        <w:rPr>
          <w:rFonts w:ascii="Times New Roman" w:hAnsi="Times New Roman"/>
        </w:rPr>
        <w:t>Contributors' credits:</w:t>
        <w:br/>
        <w:t>Concept and design: Dr Siddalingaiah H S</w:t>
        <w:br/>
        <w:t>Data curation and analysis: Dr Siddalingaiah H S</w:t>
        <w:br/>
        <w:t>Interpretation: Dr Siddalingaiah H S</w:t>
        <w:br/>
        <w:t>Drafting and revision: Dr Siddalingaiah H S</w:t>
        <w:br/>
        <w:t>Guarantor: Dr Siddalingaiah H S</w:t>
      </w:r>
    </w:p>
    <w:p>
      <w:pPr>
        <w:jc w:val="both"/>
      </w:pPr>
      <w:r>
        <w:rPr>
          <w:rFonts w:ascii="Times New Roman" w:hAnsi="Times New Roman"/>
        </w:rPr>
        <w:t>Declaration on competing interests:</w:t>
        <w:br/>
        <w:t>None.</w:t>
      </w:r>
    </w:p>
    <w:p>
      <w:pPr>
        <w:jc w:val="both"/>
      </w:pPr>
      <w:r>
        <w:rPr>
          <w:rFonts w:ascii="Times New Roman" w:hAnsi="Times New Roman"/>
        </w:rPr>
        <w:t>Funding:</w:t>
        <w:br/>
        <w:t>No external funding.</w:t>
      </w:r>
    </w:p>
    <w:p>
      <w:pPr>
        <w:jc w:val="both"/>
      </w:pPr>
      <w:r>
        <w:rPr>
          <w:rFonts w:ascii="Times New Roman" w:hAnsi="Times New Roman"/>
        </w:rPr>
        <w:t>Ethical clearance status:</w:t>
        <w:br/>
        <w:t>Not applicable. This study used public-domain aggregate data and no individual-level identifiable participant data.</w:t>
        <w:br/>
        <w:t>Ethics Committee name, date and number:</w:t>
        <w:br/>
        <w:t>Not applicable.</w:t>
      </w:r>
    </w:p>
    <w:p>
      <w:pPr>
        <w:jc w:val="both"/>
      </w:pPr>
      <w:r>
        <w:rPr>
          <w:rFonts w:ascii="Times New Roman" w:hAnsi="Times New Roman"/>
        </w:rPr>
        <w:t>Clinical trial registration number:</w:t>
        <w:br/>
        <w:t>Not applicable.</w:t>
      </w:r>
    </w:p>
    <w:p>
      <w:pPr>
        <w:jc w:val="both"/>
      </w:pPr>
      <w:r>
        <w:rPr>
          <w:rFonts w:ascii="Times New Roman" w:hAnsi="Times New Roman"/>
        </w:rPr>
        <w:t>Data sharing statement:</w:t>
        <w:br/>
        <w:t>Derived tables, figures, and scripts are available in the project workspace; source public data are available from LASI/IIPS and related public reports.</w:t>
      </w:r>
    </w:p>
    <w:p>
      <w:pPr>
        <w:jc w:val="both"/>
      </w:pPr>
      <w:r>
        <w:rPr>
          <w:rFonts w:ascii="Times New Roman" w:hAnsi="Times New Roman"/>
        </w:rPr>
        <w:t>Declaration of Artificial Intelligence (AI) in scientific writing:</w:t>
        <w:br/>
        <w:t>Computational tools were used for data processing, reproducible analysis, document assembly, and formatting support. Final responsibility for the scientific content rests with the author.</w:t>
      </w:r>
    </w:p>
    <w:p>
      <w:pPr>
        <w:jc w:val="both"/>
      </w:pPr>
      <w:r>
        <w:rPr>
          <w:rFonts w:ascii="Times New Roman" w:hAnsi="Times New Roman"/>
        </w:rPr>
        <w:t>Word count (excluding abstract, tables, figures, acknowledgment, key messages, and references):</w:t>
        <w:br/>
        <w:t>1773</w:t>
      </w:r>
    </w:p>
    <w:p>
      <w:pPr>
        <w:jc w:val="both"/>
      </w:pPr>
      <w:r>
        <w:rPr>
          <w:rFonts w:ascii="Times New Roman" w:hAnsi="Times New Roman"/>
        </w:rPr>
        <w:t>Number of tables:</w:t>
        <w:br/>
        <w:t>4</w:t>
      </w:r>
    </w:p>
    <w:p>
      <w:pPr>
        <w:jc w:val="both"/>
      </w:pPr>
      <w:r>
        <w:rPr>
          <w:rFonts w:ascii="Times New Roman" w:hAnsi="Times New Roman"/>
        </w:rPr>
        <w:t>Number of figures:</w:t>
        <w:br/>
        <w:t>4</w:t>
      </w:r>
    </w:p>
    <w:p>
      <w:pPr>
        <w:jc w:val="both"/>
      </w:pPr>
      <w:r>
        <w:rPr>
          <w:rFonts w:ascii="Times New Roman" w:hAnsi="Times New Roman"/>
        </w:rPr>
        <w:t>Disclaimers:</w:t>
        <w:br/>
        <w:t>None.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