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</w:rPr>
        <w:t>INDIAN JOURNAL OF MEDICAL RESEARCH</w:t>
        <w:br/>
        <w:t>SUBMISSION CHECKLIST</w:t>
      </w:r>
    </w:p>
    <w:p>
      <w:pPr>
        <w:jc w:val="both"/>
      </w:pPr>
      <w:r>
        <w:rPr>
          <w:rFonts w:ascii="Times New Roman" w:hAnsi="Times New Roman"/>
        </w:rPr>
        <w:t>Prepared files</w:t>
        <w:br/>
        <w:t>- First page file</w:t>
        <w:br/>
        <w:t>- Cover letter</w:t>
        <w:br/>
        <w:t>- Blinded manuscript</w:t>
        <w:br/>
        <w:t>- Author declarations</w:t>
        <w:br/>
        <w:t>- Figures DOCX file</w:t>
        <w:br/>
        <w:t>- Reference metadata</w:t>
        <w:br/>
        <w:t>- Separate figure files</w:t>
        <w:br/>
        <w:t>- Separate table CSV files</w:t>
      </w:r>
    </w:p>
    <w:p>
      <w:pPr>
        <w:jc w:val="both"/>
      </w:pPr>
      <w:r>
        <w:rPr>
          <w:rFonts w:ascii="Times New Roman" w:hAnsi="Times New Roman"/>
        </w:rPr>
        <w:t>Checks completed</w:t>
        <w:br/>
        <w:t>- Article category aligned as Original Article</w:t>
        <w:br/>
        <w:t>- Structured abstract prepared in four-part IJMR format</w:t>
        <w:br/>
        <w:t>- Title page details separated from blinded manuscript</w:t>
        <w:br/>
        <w:t>- In-text references converted to superscript numbered style without brackets</w:t>
        <w:br/>
        <w:t>- References ordered by first appearance in text</w:t>
        <w:br/>
        <w:t>- Tables moved after References section</w:t>
        <w:br/>
        <w:t>- Figure legends included in manuscript after Tables section</w:t>
        <w:br/>
        <w:t>- Figures copied separately and compiled in a separate DOCX file</w:t>
        <w:br/>
        <w:t>- Conflicts/funding/ethics/AI/data-sharing statements included</w:t>
      </w:r>
    </w:p>
    <w:p>
      <w:pPr>
        <w:jc w:val="both"/>
      </w:pPr>
      <w:r>
        <w:rPr>
          <w:rFonts w:ascii="Times New Roman" w:hAnsi="Times New Roman"/>
        </w:rPr>
        <w:t>Manual checks before upload</w:t>
        <w:br/>
        <w:t>- Confirm the latest IJMR portal requires any additional signed copyright or author forms</w:t>
        <w:br/>
        <w:t>- Open the DOCX in Word and confirm table fit and figure placement</w:t>
        <w:br/>
        <w:t>- Confirm the running title length and abstract word count on the final portal version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