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Jiag Deai Submission Audit Note</w:t>
      </w:r>
    </w:p>
    <w:p>
      <w:r>
        <w:t>Generated: 23 April 2026</w:t>
      </w:r>
    </w:p>
    <w:p>
      <w:r>
        <w:t>Major strengthening steps completed:</w:t>
        <w:br/>
        <w:t>1. Rebuilt the short draft into a full-length Original Article.</w:t>
        <w:br/>
        <w:t>2. Main text word count is 2958 words excluding abstract, references, tables, and figure legends.</w:t>
        <w:br/>
        <w:t>3. Embedded four tables and four figures in the manuscript DOCX.</w:t>
        <w:br/>
        <w:t>4. Added in-text numbered references and Vancouver-style reference list.</w:t>
        <w:br/>
        <w:t>5. Added reference metadata verification file.</w:t>
        <w:br/>
        <w:t>6. Preserved cautious scientific interpretation: mortality is stable nominal/supportive; multimorbidity is robust but interpreted as epidemiological transition/ascertainment.</w:t>
        <w:br/>
        <w:t>7. Retained blinding in manuscript file and moved author details to title page.</w:t>
      </w:r>
    </w:p>
    <w:p>
      <w:r>
        <w:t>Residual issue:</w:t>
        <w:br/>
        <w:t>Open the DOCX in Word before portal upload to check table width and figure placement.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