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Journal Of The Indian Academy Of Geriatrics</w:t>
      </w:r>
    </w:p>
    <w:p>
      <w:r>
        <w:t>TITLE PAGE</w:t>
      </w:r>
    </w:p>
    <w:p>
      <w:r>
        <w:t>Article type: Original Article</w:t>
      </w:r>
    </w:p>
    <w:p>
      <w:r>
        <w:t>Full title:</w:t>
        <w:br/>
        <w:t>Digital Exposome Aging Index for Healthy Ageing Surveillance in India: A Reproducible Pipeline and State-Level LASI Validation</w:t>
      </w:r>
    </w:p>
    <w:p>
      <w:r>
        <w:t>Running title:</w:t>
        <w:br/>
        <w:t>DEAI healthy-ageing surveillance</w:t>
      </w:r>
    </w:p>
    <w:p>
      <w:r>
        <w:t>Author:</w:t>
        <w:br/>
        <w:t>Siddalingaiah H. S.</w:t>
        <w:br/>
        <w:t>Professor, Department of Community Medicine</w:t>
        <w:br/>
        <w:t>Shridevi Institute of Medical Sciences and Research Hospital</w:t>
        <w:br/>
        <w:t>Tumkur, Karnataka, India</w:t>
        <w:br/>
        <w:t>Email: hssling@yahoo.com</w:t>
        <w:br/>
        <w:t>Phone: +91 8941087719</w:t>
        <w:br/>
        <w:t>ORCID: 0000-0002-4771-8285</w:t>
      </w:r>
    </w:p>
    <w:p>
      <w:r>
        <w:t>Affiliation:</w:t>
        <w:br/>
        <w:t>Department of Community Medicine, Shridevi Institute of Medical Sciences and Research Hospital, Tumkur, Karnataka, India.</w:t>
      </w:r>
    </w:p>
    <w:p>
      <w:r>
        <w:t>Corresponding author:</w:t>
        <w:br/>
        <w:t>Dr Siddalingaiah H S</w:t>
        <w:br/>
        <w:t>Professor, Community Medicine</w:t>
        <w:br/>
        <w:t>Shridevi Institute of Medical Sciences and Research Hospital</w:t>
        <w:br/>
        <w:t>Tumkur, Karnataka, India</w:t>
        <w:br/>
        <w:t>Email: hssling@yahoo.com</w:t>
        <w:br/>
        <w:t>Phone: +91 8941087719</w:t>
        <w:br/>
        <w:t>ORCID: 0000-0002-4771-8285</w:t>
      </w:r>
    </w:p>
    <w:p>
      <w:r>
        <w:t>Word counts:</w:t>
        <w:br/>
        <w:t>Structured abstract: 236 words</w:t>
        <w:br/>
        <w:t>Main text from Introduction through Conclusions, excluding abstract, references, tables, and figure legends: 2958 words</w:t>
        <w:br/>
        <w:t>References: 12</w:t>
        <w:br/>
        <w:t>Tables: 4</w:t>
        <w:br/>
        <w:t>Figures: 4</w:t>
      </w:r>
    </w:p>
    <w:p>
      <w:r>
        <w:t>Source of support:</w:t>
        <w:br/>
        <w:t>None. No external funding was received.</w:t>
      </w:r>
    </w:p>
    <w:p>
      <w:r>
        <w:t>Acknowledgment:</w:t>
        <w:br/>
        <w:t>The author acknowledges the public availability of LASI Wave 1 state/UT factsheets and NFHS-5 summary data.</w:t>
      </w:r>
    </w:p>
    <w:p>
      <w:r>
        <w:t>Prior presentation:</w:t>
        <w:br/>
        <w:t>None declared for this DEAI manuscript.</w:t>
      </w:r>
    </w:p>
    <w:p>
      <w:r>
        <w:t>Clinical trial registration:</w:t>
        <w:br/>
        <w:t>Not applicable.</w:t>
      </w:r>
    </w:p>
    <w:p>
      <w:r>
        <w:t>Conflicts of interest:</w:t>
        <w:br/>
        <w:t>The author declares no financial or non-financial conflicts of interest related to this submission.</w:t>
      </w:r>
    </w:p>
    <w:p>
      <w:r>
        <w:t>Authorship statement:</w:t>
        <w:br/>
        <w:t>The author meets authorship criteria, approved the submitted version, and accepts accountability for the work.</w:t>
      </w:r>
    </w:p>
    <w:p>
      <w:r>
        <w:t>Approval statement:</w:t>
        <w:br/>
        <w:t>The manuscript has been read and approved by the author, who believes that the manuscript represents honest work.</w:t>
      </w:r>
    </w:p>
    <w:p>
      <w:r>
        <w:t>Ethics summary for editorial use:</w:t>
        <w:br/>
        <w:t>IEC approval is not applicable because this is a secondary data analysis of publicly available aggregate LASI/NFHS summary indicators and synthetic reproducibility data. No individual-level identifiable human participant data were accessed.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