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t xml:space="preserve">All figures are survey-weighted and supplied at 600 dpi in the figures folder.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Catastrophic health expenditure among older adults at three thresholds, for all adults aged 60 yr and over and for those aged 70 yr and over.</w:t>
      </w:r>
    </w:p>
    <w:p>
      <w:pPr>
        <w:pStyle w:val="CaptionedFigure"/>
      </w:pPr>
      <w:r>
        <w:drawing>
          <wp:inline>
            <wp:extent cx="5334000" cy="4072413"/>
            <wp:effectExtent b="0" l="0" r="0" t="0"/>
            <wp:docPr descr="Figure 1" title="" id="10" name="Picture"/>
            <a:graphic>
              <a:graphicData uri="http://schemas.openxmlformats.org/drawingml/2006/picture">
                <pic:pic>
                  <pic:nvPicPr>
                    <pic:cNvPr descr="figures/Figure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Share of older adults below the poverty line before and after out-of-pocket payment, overall and by sex and residence.</w:t>
      </w:r>
    </w:p>
    <w:p>
      <w:pPr>
        <w:pStyle w:val="CaptionedFigure"/>
      </w:pPr>
      <w:r>
        <w:drawing>
          <wp:inline>
            <wp:extent cx="5334000" cy="4073532"/>
            <wp:effectExtent b="0" l="0" r="0" t="0"/>
            <wp:docPr descr="Figure 2" title="" id="13" name="Picture"/>
            <a:graphic>
              <a:graphicData uri="http://schemas.openxmlformats.org/drawingml/2006/picture">
                <pic:pic>
                  <pic:nvPicPr>
                    <pic:cNvPr descr="figures/Figure_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3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Drivers of catastrophic spending ranked by mean absolute SHAP value from the gradient-boosting model (predictive, not causal).</w:t>
      </w:r>
    </w:p>
    <w:p>
      <w:pPr>
        <w:pStyle w:val="CaptionedFigure"/>
      </w:pPr>
      <w:r>
        <w:drawing>
          <wp:inline>
            <wp:extent cx="5334000" cy="3426823"/>
            <wp:effectExtent b="0" l="0" r="0" t="0"/>
            <wp:docPr descr="Figure 3" title="" id="16" name="Picture"/>
            <a:graphic>
              <a:graphicData uri="http://schemas.openxmlformats.org/drawingml/2006/picture">
                <pic:pic>
                  <pic:nvPicPr>
                    <pic:cNvPr descr="figures/Figure_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Percentage-point change in catastrophic spending under four financing-reform scenarios, with each scenario’s fiscal cost annotated. Scenarios assume full coverage and are upper-bound ceilings.</w:t>
      </w:r>
    </w:p>
    <w:p>
      <w:pPr>
        <w:pStyle w:val="CaptionedFigure"/>
      </w:pPr>
      <w:r>
        <w:drawing>
          <wp:inline>
            <wp:extent cx="5334000" cy="3972127"/>
            <wp:effectExtent b="0" l="0" r="0" t="0"/>
            <wp:docPr descr="Figure 4" title="" id="19" name="Picture"/>
            <a:graphic>
              <a:graphicData uri="http://schemas.openxmlformats.org/drawingml/2006/picture">
                <pic:pic>
                  <pic:nvPicPr>
                    <pic:cNvPr descr="figures/Figure_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Ranking of States and union territories by the share of older households with catastrophic spending (&gt;40% of capacity to pay). The dashed line marks the national 60+ average (20.7%).</w:t>
      </w:r>
    </w:p>
    <w:p>
      <w:pPr>
        <w:pStyle w:val="CaptionedFigure"/>
      </w:pPr>
      <w:r>
        <w:drawing>
          <wp:inline>
            <wp:extent cx="5334000" cy="6002299"/>
            <wp:effectExtent b="0" l="0" r="0" t="0"/>
            <wp:docPr descr="Figure 5" title="" id="22" name="Picture"/>
            <a:graphic>
              <a:graphicData uri="http://schemas.openxmlformats.org/drawingml/2006/picture">
                <pic:pic>
                  <pic:nvPicPr>
                    <pic:cNvPr descr="figures/Figure_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2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Projected number of older adults in catastrophic-spending households and the annual cost of universal outpatient and medicine cover, 2022–2050, holding the 2017–18 rate constant.</w:t>
      </w:r>
    </w:p>
    <w:p>
      <w:pPr>
        <w:pStyle w:val="CaptionedFigure"/>
      </w:pPr>
      <w:r>
        <w:drawing>
          <wp:inline>
            <wp:extent cx="5334000" cy="3619097"/>
            <wp:effectExtent b="0" l="0" r="0" t="0"/>
            <wp:docPr descr="Figure 6" title="" id="25" name="Picture"/>
            <a:graphic>
              <a:graphicData uri="http://schemas.openxmlformats.org/drawingml/2006/picture">
                <pic:pic>
                  <pic:nvPicPr>
                    <pic:cNvPr descr="figures/Figure_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i/>
          <w:iCs/>
        </w:rPr>
        <w:t xml:space="preserve">Supplementary Figures S1 and S2 are provided in the supplementary file.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2026-06-26T12:07:57Z</dcterms:created>
  <dcterms:modified xsi:type="dcterms:W3CDTF">2026-06-26T12:07:57Z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